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D09FE" w14:textId="77777777" w:rsidR="0072682F" w:rsidRPr="00D92A6E" w:rsidRDefault="0072682F" w:rsidP="0072682F">
      <w:pPr>
        <w:pStyle w:val="Akapitzlist"/>
        <w:spacing w:line="276" w:lineRule="auto"/>
        <w:rPr>
          <w:rFonts w:ascii="Lato" w:hAnsi="Lato"/>
          <w:color w:val="auto"/>
          <w:sz w:val="22"/>
          <w:szCs w:val="22"/>
        </w:rPr>
      </w:pPr>
    </w:p>
    <w:p w14:paraId="7C250333" w14:textId="77777777" w:rsidR="0072682F" w:rsidRPr="00D92A6E" w:rsidRDefault="0072682F" w:rsidP="0072682F">
      <w:pPr>
        <w:jc w:val="center"/>
        <w:rPr>
          <w:rFonts w:ascii="Lato" w:hAnsi="Lato"/>
          <w:b/>
          <w:bCs/>
          <w:color w:val="auto"/>
        </w:rPr>
      </w:pPr>
      <w:bookmarkStart w:id="0" w:name="_Hlk196377726"/>
      <w:r w:rsidRPr="00D92A6E">
        <w:rPr>
          <w:rFonts w:ascii="Lato" w:hAnsi="Lato"/>
          <w:b/>
          <w:bCs/>
          <w:color w:val="auto"/>
        </w:rPr>
        <w:t>DETAILED TENDER CONDITIONS</w:t>
      </w:r>
    </w:p>
    <w:p w14:paraId="32F8C8FE" w14:textId="77777777" w:rsidR="0072682F" w:rsidRPr="00D92A6E" w:rsidRDefault="0072682F" w:rsidP="0072682F">
      <w:pPr>
        <w:jc w:val="center"/>
        <w:rPr>
          <w:rFonts w:ascii="Lato" w:hAnsi="Lato"/>
          <w:b/>
          <w:bCs/>
          <w:color w:val="auto"/>
        </w:rPr>
      </w:pPr>
    </w:p>
    <w:p w14:paraId="0D438FB8" w14:textId="77777777" w:rsidR="0072682F" w:rsidRPr="00D92A6E" w:rsidRDefault="0072682F" w:rsidP="0072682F">
      <w:pPr>
        <w:jc w:val="both"/>
        <w:rPr>
          <w:rFonts w:ascii="Lato" w:hAnsi="Lato"/>
          <w:b/>
          <w:bCs/>
          <w:color w:val="auto"/>
        </w:rPr>
      </w:pPr>
      <w:r w:rsidRPr="00D92A6E">
        <w:rPr>
          <w:rStyle w:val="Pogrubienie"/>
          <w:rFonts w:ascii="Lato" w:hAnsi="Lato"/>
          <w:color w:val="auto"/>
        </w:rPr>
        <w:t>Tender Organizer:</w:t>
      </w:r>
      <w:r w:rsidRPr="00D92A6E">
        <w:rPr>
          <w:rFonts w:ascii="Lato" w:hAnsi="Lato"/>
          <w:color w:val="auto"/>
        </w:rPr>
        <w:t xml:space="preserve"> </w:t>
      </w:r>
      <w:proofErr w:type="spellStart"/>
      <w:r w:rsidRPr="00D92A6E">
        <w:rPr>
          <w:rFonts w:ascii="Lato" w:hAnsi="Lato"/>
          <w:color w:val="auto"/>
        </w:rPr>
        <w:t>Geofizyka</w:t>
      </w:r>
      <w:proofErr w:type="spellEnd"/>
      <w:r w:rsidRPr="00D92A6E">
        <w:rPr>
          <w:rFonts w:ascii="Lato" w:hAnsi="Lato"/>
          <w:color w:val="auto"/>
        </w:rPr>
        <w:t xml:space="preserve"> </w:t>
      </w:r>
      <w:proofErr w:type="spellStart"/>
      <w:r w:rsidRPr="00D92A6E">
        <w:rPr>
          <w:rFonts w:ascii="Lato" w:hAnsi="Lato"/>
          <w:color w:val="auto"/>
        </w:rPr>
        <w:t>Toruń</w:t>
      </w:r>
      <w:proofErr w:type="spellEnd"/>
      <w:r w:rsidRPr="00D92A6E">
        <w:rPr>
          <w:rFonts w:ascii="Lato" w:hAnsi="Lato"/>
          <w:color w:val="auto"/>
        </w:rPr>
        <w:t xml:space="preserve"> S.A. (National Court Register No.: 000425970)</w:t>
      </w:r>
    </w:p>
    <w:p w14:paraId="73ED3858" w14:textId="77777777" w:rsidR="0072682F" w:rsidRPr="00D92A6E" w:rsidRDefault="0072682F" w:rsidP="0072682F">
      <w:pPr>
        <w:jc w:val="both"/>
        <w:rPr>
          <w:rFonts w:ascii="Lato" w:hAnsi="Lato"/>
          <w:b/>
          <w:bCs/>
          <w:color w:val="auto"/>
        </w:rPr>
      </w:pPr>
    </w:p>
    <w:p w14:paraId="6E977224" w14:textId="77777777" w:rsidR="0072682F" w:rsidRPr="00D92A6E" w:rsidRDefault="0072682F" w:rsidP="0072682F">
      <w:pPr>
        <w:jc w:val="both"/>
        <w:rPr>
          <w:rFonts w:ascii="Lato" w:hAnsi="Lato"/>
          <w:b/>
          <w:bCs/>
          <w:color w:val="auto"/>
        </w:rPr>
      </w:pPr>
      <w:r w:rsidRPr="00D92A6E">
        <w:rPr>
          <w:rFonts w:ascii="Lato" w:hAnsi="Lato"/>
          <w:b/>
          <w:bCs/>
          <w:color w:val="auto"/>
        </w:rPr>
        <w:t>Subject of the Tender:</w:t>
      </w:r>
    </w:p>
    <w:tbl>
      <w:tblPr>
        <w:tblStyle w:val="Tabela-Siatka"/>
        <w:tblW w:w="9776" w:type="dxa"/>
        <w:tblLook w:val="04A0" w:firstRow="1" w:lastRow="0" w:firstColumn="1" w:lastColumn="0" w:noHBand="0" w:noVBand="1"/>
      </w:tblPr>
      <w:tblGrid>
        <w:gridCol w:w="662"/>
        <w:gridCol w:w="5962"/>
        <w:gridCol w:w="1081"/>
        <w:gridCol w:w="2071"/>
      </w:tblGrid>
      <w:tr w:rsidR="007864A1" w:rsidRPr="005A0505" w14:paraId="1C92FF37" w14:textId="77777777" w:rsidTr="00183D79">
        <w:tc>
          <w:tcPr>
            <w:tcW w:w="662" w:type="dxa"/>
          </w:tcPr>
          <w:bookmarkEnd w:id="0"/>
          <w:p w14:paraId="6B0E070F" w14:textId="77777777" w:rsidR="007864A1" w:rsidRPr="005A0505" w:rsidRDefault="007864A1" w:rsidP="00183D79">
            <w:pPr>
              <w:spacing w:after="0" w:line="240" w:lineRule="auto"/>
              <w:rPr>
                <w:rFonts w:ascii="Lato" w:hAnsi="Lato"/>
                <w:color w:val="auto"/>
              </w:rPr>
            </w:pPr>
            <w:r w:rsidRPr="005A0505">
              <w:rPr>
                <w:rFonts w:ascii="Lato" w:hAnsi="Lato"/>
                <w:color w:val="auto"/>
              </w:rPr>
              <w:t>Item</w:t>
            </w:r>
          </w:p>
        </w:tc>
        <w:tc>
          <w:tcPr>
            <w:tcW w:w="5962" w:type="dxa"/>
          </w:tcPr>
          <w:p w14:paraId="1431ABC9" w14:textId="77777777" w:rsidR="007864A1" w:rsidRPr="005A0505" w:rsidRDefault="007864A1" w:rsidP="00183D79">
            <w:pPr>
              <w:spacing w:after="0" w:line="240" w:lineRule="auto"/>
              <w:rPr>
                <w:rFonts w:ascii="Lato" w:hAnsi="Lato"/>
                <w:color w:val="auto"/>
              </w:rPr>
            </w:pPr>
            <w:r w:rsidRPr="005A0505">
              <w:rPr>
                <w:rFonts w:ascii="Lato" w:hAnsi="Lato"/>
                <w:color w:val="auto"/>
              </w:rPr>
              <w:t>Name of Equipment Component</w:t>
            </w:r>
          </w:p>
        </w:tc>
        <w:tc>
          <w:tcPr>
            <w:tcW w:w="1081" w:type="dxa"/>
          </w:tcPr>
          <w:p w14:paraId="5097EFB2" w14:textId="77777777" w:rsidR="007864A1" w:rsidRPr="005A0505" w:rsidRDefault="007864A1" w:rsidP="00183D79">
            <w:pPr>
              <w:spacing w:after="0" w:line="240" w:lineRule="auto"/>
              <w:rPr>
                <w:rFonts w:ascii="Lato" w:hAnsi="Lato"/>
                <w:color w:val="auto"/>
              </w:rPr>
            </w:pPr>
            <w:r w:rsidRPr="005A0505">
              <w:rPr>
                <w:rFonts w:ascii="Lato" w:hAnsi="Lato"/>
                <w:color w:val="auto"/>
              </w:rPr>
              <w:t>Quantity</w:t>
            </w:r>
          </w:p>
        </w:tc>
        <w:tc>
          <w:tcPr>
            <w:tcW w:w="2071" w:type="dxa"/>
          </w:tcPr>
          <w:p w14:paraId="6FD369E9" w14:textId="77777777" w:rsidR="007864A1" w:rsidRPr="005A0505" w:rsidRDefault="007864A1" w:rsidP="00183D79">
            <w:pPr>
              <w:spacing w:after="0" w:line="240" w:lineRule="auto"/>
              <w:rPr>
                <w:rFonts w:ascii="Lato" w:hAnsi="Lato"/>
                <w:color w:val="auto"/>
                <w:lang w:val="en-US"/>
              </w:rPr>
            </w:pPr>
            <w:r w:rsidRPr="005A0505">
              <w:rPr>
                <w:rFonts w:ascii="Lato" w:hAnsi="Lato"/>
                <w:color w:val="auto"/>
                <w:lang w:val="en-US"/>
              </w:rPr>
              <w:t>Starting Net Price for the Set</w:t>
            </w:r>
          </w:p>
        </w:tc>
      </w:tr>
      <w:tr w:rsidR="007864A1" w:rsidRPr="005A0505" w14:paraId="6D95CF09" w14:textId="77777777" w:rsidTr="00183D79">
        <w:tc>
          <w:tcPr>
            <w:tcW w:w="662" w:type="dxa"/>
          </w:tcPr>
          <w:p w14:paraId="4E55A64A" w14:textId="77777777" w:rsidR="007864A1" w:rsidRPr="005A0505" w:rsidRDefault="007864A1" w:rsidP="00183D79">
            <w:pPr>
              <w:spacing w:after="0" w:line="240" w:lineRule="auto"/>
              <w:rPr>
                <w:rFonts w:ascii="Lato" w:hAnsi="Lato"/>
                <w:color w:val="auto"/>
              </w:rPr>
            </w:pPr>
            <w:r w:rsidRPr="005A0505">
              <w:rPr>
                <w:rFonts w:ascii="Lato" w:hAnsi="Lato"/>
                <w:color w:val="auto"/>
              </w:rPr>
              <w:t>1</w:t>
            </w:r>
          </w:p>
        </w:tc>
        <w:tc>
          <w:tcPr>
            <w:tcW w:w="5962" w:type="dxa"/>
            <w:vAlign w:val="center"/>
          </w:tcPr>
          <w:p w14:paraId="46D93F65" w14:textId="6478E433" w:rsidR="007864A1" w:rsidRPr="005A0505" w:rsidRDefault="004B53DE" w:rsidP="00183D79">
            <w:pPr>
              <w:spacing w:after="0" w:line="240" w:lineRule="auto"/>
              <w:rPr>
                <w:rFonts w:ascii="Lato" w:hAnsi="Lato"/>
                <w:color w:val="auto"/>
              </w:rPr>
            </w:pPr>
            <w:r w:rsidRPr="004B53DE">
              <w:rPr>
                <w:rFonts w:ascii="Lato" w:hAnsi="Lato"/>
                <w:color w:val="auto"/>
              </w:rPr>
              <w:t xml:space="preserve">Seismic Vibrator ATS </w:t>
            </w:r>
            <w:proofErr w:type="spellStart"/>
            <w:r w:rsidRPr="004B53DE">
              <w:rPr>
                <w:rFonts w:ascii="Lato" w:hAnsi="Lato"/>
                <w:color w:val="auto"/>
              </w:rPr>
              <w:t>nr</w:t>
            </w:r>
            <w:proofErr w:type="spellEnd"/>
            <w:r w:rsidRPr="004B53DE">
              <w:rPr>
                <w:rFonts w:ascii="Lato" w:hAnsi="Lato"/>
                <w:color w:val="auto"/>
              </w:rPr>
              <w:t xml:space="preserve"> 632</w:t>
            </w:r>
          </w:p>
        </w:tc>
        <w:tc>
          <w:tcPr>
            <w:tcW w:w="1081" w:type="dxa"/>
          </w:tcPr>
          <w:p w14:paraId="1761EFB8" w14:textId="3B246634" w:rsidR="007864A1" w:rsidRPr="005A0505" w:rsidRDefault="007864A1" w:rsidP="00183D79">
            <w:pPr>
              <w:spacing w:after="0" w:line="240" w:lineRule="auto"/>
              <w:jc w:val="right"/>
              <w:rPr>
                <w:rFonts w:ascii="Lato" w:hAnsi="Lato"/>
                <w:color w:val="auto"/>
              </w:rPr>
            </w:pPr>
          </w:p>
        </w:tc>
        <w:tc>
          <w:tcPr>
            <w:tcW w:w="2071" w:type="dxa"/>
            <w:vMerge w:val="restart"/>
            <w:vAlign w:val="center"/>
          </w:tcPr>
          <w:p w14:paraId="23361A25" w14:textId="1511BC93" w:rsidR="007864A1" w:rsidRPr="005A0505" w:rsidRDefault="00452224" w:rsidP="00183D79">
            <w:pPr>
              <w:spacing w:after="0" w:line="240" w:lineRule="auto"/>
              <w:jc w:val="right"/>
              <w:rPr>
                <w:rFonts w:ascii="Lato" w:hAnsi="Lato"/>
                <w:b/>
                <w:bCs/>
                <w:color w:val="auto"/>
              </w:rPr>
            </w:pPr>
            <w:r>
              <w:rPr>
                <w:rFonts w:ascii="Lato" w:hAnsi="Lato"/>
                <w:b/>
                <w:bCs/>
                <w:color w:val="auto"/>
              </w:rPr>
              <w:t>600</w:t>
            </w:r>
            <w:r w:rsidR="004B53DE">
              <w:rPr>
                <w:rFonts w:ascii="Lato" w:hAnsi="Lato"/>
                <w:b/>
                <w:bCs/>
                <w:color w:val="auto"/>
              </w:rPr>
              <w:t> 000,00</w:t>
            </w:r>
            <w:r w:rsidR="007864A1" w:rsidRPr="005A0505">
              <w:rPr>
                <w:rFonts w:ascii="Lato" w:hAnsi="Lato"/>
                <w:b/>
                <w:bCs/>
                <w:color w:val="auto"/>
              </w:rPr>
              <w:t xml:space="preserve"> USD</w:t>
            </w:r>
          </w:p>
        </w:tc>
      </w:tr>
      <w:tr w:rsidR="007864A1" w:rsidRPr="005A0505" w14:paraId="5A2C6307" w14:textId="77777777" w:rsidTr="00183D79">
        <w:tc>
          <w:tcPr>
            <w:tcW w:w="662" w:type="dxa"/>
          </w:tcPr>
          <w:p w14:paraId="2734850E" w14:textId="77777777" w:rsidR="007864A1" w:rsidRPr="005A0505" w:rsidRDefault="007864A1" w:rsidP="00183D79">
            <w:pPr>
              <w:spacing w:after="0" w:line="240" w:lineRule="auto"/>
              <w:rPr>
                <w:rFonts w:ascii="Lato" w:hAnsi="Lato"/>
                <w:color w:val="auto"/>
              </w:rPr>
            </w:pPr>
            <w:r w:rsidRPr="005A0505">
              <w:rPr>
                <w:rFonts w:ascii="Lato" w:hAnsi="Lato"/>
                <w:color w:val="auto"/>
              </w:rPr>
              <w:t>2</w:t>
            </w:r>
          </w:p>
        </w:tc>
        <w:tc>
          <w:tcPr>
            <w:tcW w:w="5962" w:type="dxa"/>
            <w:vAlign w:val="center"/>
          </w:tcPr>
          <w:p w14:paraId="24E13C6F" w14:textId="40EEE960" w:rsidR="004B53DE" w:rsidRPr="005A0505" w:rsidRDefault="004B53DE" w:rsidP="00183D79">
            <w:pPr>
              <w:spacing w:after="0" w:line="240" w:lineRule="auto"/>
              <w:rPr>
                <w:rFonts w:ascii="Lato" w:hAnsi="Lato"/>
                <w:color w:val="auto"/>
              </w:rPr>
            </w:pPr>
            <w:r w:rsidRPr="004B53DE">
              <w:rPr>
                <w:rFonts w:ascii="Lato" w:hAnsi="Lato"/>
                <w:color w:val="auto"/>
              </w:rPr>
              <w:t xml:space="preserve">Seismic Vibrator ATS </w:t>
            </w:r>
            <w:proofErr w:type="spellStart"/>
            <w:r w:rsidRPr="004B53DE">
              <w:rPr>
                <w:rFonts w:ascii="Lato" w:hAnsi="Lato"/>
                <w:color w:val="auto"/>
              </w:rPr>
              <w:t>nr</w:t>
            </w:r>
            <w:proofErr w:type="spellEnd"/>
            <w:r w:rsidRPr="004B53DE">
              <w:rPr>
                <w:rFonts w:ascii="Lato" w:hAnsi="Lato"/>
                <w:color w:val="auto"/>
              </w:rPr>
              <w:t xml:space="preserve"> 63</w:t>
            </w:r>
            <w:r>
              <w:rPr>
                <w:rFonts w:ascii="Lato" w:hAnsi="Lato"/>
                <w:color w:val="auto"/>
              </w:rPr>
              <w:t>3</w:t>
            </w:r>
          </w:p>
        </w:tc>
        <w:tc>
          <w:tcPr>
            <w:tcW w:w="1081" w:type="dxa"/>
          </w:tcPr>
          <w:p w14:paraId="6FD839B3" w14:textId="679E073D" w:rsidR="007864A1" w:rsidRPr="005A0505" w:rsidRDefault="007864A1" w:rsidP="00183D79">
            <w:pPr>
              <w:spacing w:after="0" w:line="240" w:lineRule="auto"/>
              <w:jc w:val="right"/>
              <w:rPr>
                <w:rFonts w:ascii="Lato" w:hAnsi="Lato"/>
                <w:color w:val="auto"/>
              </w:rPr>
            </w:pPr>
          </w:p>
        </w:tc>
        <w:tc>
          <w:tcPr>
            <w:tcW w:w="2071" w:type="dxa"/>
            <w:vMerge/>
          </w:tcPr>
          <w:p w14:paraId="552A7DE3" w14:textId="77777777" w:rsidR="007864A1" w:rsidRPr="005A0505" w:rsidRDefault="007864A1" w:rsidP="00183D79">
            <w:pPr>
              <w:spacing w:after="0" w:line="240" w:lineRule="auto"/>
              <w:rPr>
                <w:rFonts w:ascii="Lato" w:hAnsi="Lato"/>
                <w:color w:val="auto"/>
              </w:rPr>
            </w:pPr>
          </w:p>
        </w:tc>
      </w:tr>
      <w:tr w:rsidR="007864A1" w:rsidRPr="005A0505" w14:paraId="33D13D5C" w14:textId="77777777" w:rsidTr="00183D79">
        <w:tc>
          <w:tcPr>
            <w:tcW w:w="662" w:type="dxa"/>
          </w:tcPr>
          <w:p w14:paraId="73DFDD28" w14:textId="77777777" w:rsidR="007864A1" w:rsidRPr="005A0505" w:rsidRDefault="007864A1" w:rsidP="00183D79">
            <w:pPr>
              <w:spacing w:after="0" w:line="240" w:lineRule="auto"/>
              <w:rPr>
                <w:rFonts w:ascii="Lato" w:hAnsi="Lato"/>
                <w:color w:val="auto"/>
              </w:rPr>
            </w:pPr>
            <w:r w:rsidRPr="005A0505">
              <w:rPr>
                <w:rFonts w:ascii="Lato" w:hAnsi="Lato"/>
                <w:color w:val="auto"/>
              </w:rPr>
              <w:t>3</w:t>
            </w:r>
          </w:p>
        </w:tc>
        <w:tc>
          <w:tcPr>
            <w:tcW w:w="5962" w:type="dxa"/>
            <w:vAlign w:val="center"/>
          </w:tcPr>
          <w:p w14:paraId="6E342AA9" w14:textId="037F30DC" w:rsidR="007864A1" w:rsidRPr="005A0505" w:rsidRDefault="004B53DE" w:rsidP="00183D79">
            <w:pPr>
              <w:spacing w:after="0" w:line="240" w:lineRule="auto"/>
              <w:rPr>
                <w:rFonts w:ascii="Lato" w:hAnsi="Lato"/>
                <w:color w:val="auto"/>
                <w:lang w:val="en-US"/>
              </w:rPr>
            </w:pPr>
            <w:r w:rsidRPr="004B53DE">
              <w:rPr>
                <w:rFonts w:ascii="Lato" w:hAnsi="Lato"/>
                <w:color w:val="auto"/>
                <w:lang w:val="en-US"/>
              </w:rPr>
              <w:t xml:space="preserve">Seismic Vibrator ATS </w:t>
            </w:r>
            <w:proofErr w:type="spellStart"/>
            <w:r w:rsidRPr="004B53DE">
              <w:rPr>
                <w:rFonts w:ascii="Lato" w:hAnsi="Lato"/>
                <w:color w:val="auto"/>
                <w:lang w:val="en-US"/>
              </w:rPr>
              <w:t>nr</w:t>
            </w:r>
            <w:proofErr w:type="spellEnd"/>
            <w:r w:rsidRPr="004B53DE">
              <w:rPr>
                <w:rFonts w:ascii="Lato" w:hAnsi="Lato"/>
                <w:color w:val="auto"/>
                <w:lang w:val="en-US"/>
              </w:rPr>
              <w:t xml:space="preserve"> 6</w:t>
            </w:r>
            <w:r>
              <w:rPr>
                <w:rFonts w:ascii="Lato" w:hAnsi="Lato"/>
                <w:color w:val="auto"/>
                <w:lang w:val="en-US"/>
              </w:rPr>
              <w:t>66</w:t>
            </w:r>
          </w:p>
        </w:tc>
        <w:tc>
          <w:tcPr>
            <w:tcW w:w="1081" w:type="dxa"/>
          </w:tcPr>
          <w:p w14:paraId="62557B38" w14:textId="766C861D" w:rsidR="007864A1" w:rsidRPr="005A0505" w:rsidRDefault="007864A1" w:rsidP="00183D79">
            <w:pPr>
              <w:spacing w:after="0" w:line="240" w:lineRule="auto"/>
              <w:jc w:val="right"/>
              <w:rPr>
                <w:rFonts w:ascii="Lato" w:hAnsi="Lato"/>
                <w:color w:val="auto"/>
              </w:rPr>
            </w:pPr>
          </w:p>
        </w:tc>
        <w:tc>
          <w:tcPr>
            <w:tcW w:w="2071" w:type="dxa"/>
            <w:vMerge/>
          </w:tcPr>
          <w:p w14:paraId="04650DDB" w14:textId="77777777" w:rsidR="007864A1" w:rsidRPr="005A0505" w:rsidRDefault="007864A1" w:rsidP="00183D79">
            <w:pPr>
              <w:spacing w:after="0" w:line="240" w:lineRule="auto"/>
              <w:rPr>
                <w:rFonts w:ascii="Lato" w:hAnsi="Lato"/>
                <w:color w:val="auto"/>
              </w:rPr>
            </w:pPr>
          </w:p>
        </w:tc>
      </w:tr>
      <w:tr w:rsidR="007864A1" w:rsidRPr="005A0505" w14:paraId="6726A52D" w14:textId="77777777" w:rsidTr="00183D79">
        <w:tc>
          <w:tcPr>
            <w:tcW w:w="662" w:type="dxa"/>
          </w:tcPr>
          <w:p w14:paraId="7D2BD21A" w14:textId="77777777" w:rsidR="007864A1" w:rsidRPr="005A0505" w:rsidRDefault="007864A1" w:rsidP="00183D79">
            <w:pPr>
              <w:spacing w:after="0" w:line="240" w:lineRule="auto"/>
              <w:rPr>
                <w:rFonts w:ascii="Lato" w:hAnsi="Lato"/>
                <w:color w:val="auto"/>
              </w:rPr>
            </w:pPr>
            <w:r w:rsidRPr="005A0505">
              <w:rPr>
                <w:rFonts w:ascii="Lato" w:hAnsi="Lato"/>
                <w:color w:val="auto"/>
              </w:rPr>
              <w:t>4</w:t>
            </w:r>
          </w:p>
        </w:tc>
        <w:tc>
          <w:tcPr>
            <w:tcW w:w="5962" w:type="dxa"/>
            <w:vAlign w:val="center"/>
          </w:tcPr>
          <w:p w14:paraId="15282DED" w14:textId="42CCD263" w:rsidR="007864A1" w:rsidRPr="005A0505" w:rsidRDefault="004B53DE" w:rsidP="00183D79">
            <w:pPr>
              <w:spacing w:after="0" w:line="240" w:lineRule="auto"/>
              <w:rPr>
                <w:rFonts w:ascii="Lato" w:hAnsi="Lato"/>
                <w:color w:val="auto"/>
                <w:lang w:val="en-US"/>
              </w:rPr>
            </w:pPr>
            <w:r w:rsidRPr="004B53DE">
              <w:rPr>
                <w:rFonts w:ascii="Lato" w:hAnsi="Lato"/>
                <w:color w:val="auto"/>
                <w:lang w:val="en-US"/>
              </w:rPr>
              <w:t xml:space="preserve">Seismic Vibrator ATS </w:t>
            </w:r>
            <w:proofErr w:type="spellStart"/>
            <w:r w:rsidRPr="004B53DE">
              <w:rPr>
                <w:rFonts w:ascii="Lato" w:hAnsi="Lato"/>
                <w:color w:val="auto"/>
                <w:lang w:val="en-US"/>
              </w:rPr>
              <w:t>nr</w:t>
            </w:r>
            <w:proofErr w:type="spellEnd"/>
            <w:r w:rsidRPr="004B53DE">
              <w:rPr>
                <w:rFonts w:ascii="Lato" w:hAnsi="Lato"/>
                <w:color w:val="auto"/>
                <w:lang w:val="en-US"/>
              </w:rPr>
              <w:t xml:space="preserve"> 6</w:t>
            </w:r>
            <w:r>
              <w:rPr>
                <w:rFonts w:ascii="Lato" w:hAnsi="Lato"/>
                <w:color w:val="auto"/>
                <w:lang w:val="en-US"/>
              </w:rPr>
              <w:t>67</w:t>
            </w:r>
          </w:p>
        </w:tc>
        <w:tc>
          <w:tcPr>
            <w:tcW w:w="1081" w:type="dxa"/>
          </w:tcPr>
          <w:p w14:paraId="4176A7F4" w14:textId="190802A2" w:rsidR="007864A1" w:rsidRPr="005A0505" w:rsidRDefault="007864A1" w:rsidP="00183D79">
            <w:pPr>
              <w:spacing w:after="0" w:line="240" w:lineRule="auto"/>
              <w:jc w:val="right"/>
              <w:rPr>
                <w:rFonts w:ascii="Lato" w:hAnsi="Lato"/>
                <w:color w:val="auto"/>
              </w:rPr>
            </w:pPr>
          </w:p>
        </w:tc>
        <w:tc>
          <w:tcPr>
            <w:tcW w:w="2071" w:type="dxa"/>
            <w:vMerge/>
          </w:tcPr>
          <w:p w14:paraId="001600BB" w14:textId="77777777" w:rsidR="007864A1" w:rsidRPr="005A0505" w:rsidRDefault="007864A1" w:rsidP="00183D79">
            <w:pPr>
              <w:spacing w:after="0" w:line="240" w:lineRule="auto"/>
              <w:rPr>
                <w:rFonts w:ascii="Lato" w:hAnsi="Lato"/>
                <w:color w:val="auto"/>
              </w:rPr>
            </w:pPr>
          </w:p>
        </w:tc>
      </w:tr>
      <w:tr w:rsidR="007864A1" w:rsidRPr="005A0505" w14:paraId="77232B60" w14:textId="77777777" w:rsidTr="00183D79">
        <w:tc>
          <w:tcPr>
            <w:tcW w:w="662" w:type="dxa"/>
          </w:tcPr>
          <w:p w14:paraId="509BA5BC" w14:textId="77777777" w:rsidR="007864A1" w:rsidRPr="005A0505" w:rsidRDefault="007864A1" w:rsidP="00183D79">
            <w:pPr>
              <w:spacing w:after="0" w:line="240" w:lineRule="auto"/>
              <w:rPr>
                <w:rFonts w:ascii="Lato" w:hAnsi="Lato"/>
                <w:color w:val="auto"/>
              </w:rPr>
            </w:pPr>
            <w:r w:rsidRPr="005A0505">
              <w:rPr>
                <w:rFonts w:ascii="Lato" w:hAnsi="Lato"/>
                <w:color w:val="auto"/>
              </w:rPr>
              <w:t>5</w:t>
            </w:r>
          </w:p>
        </w:tc>
        <w:tc>
          <w:tcPr>
            <w:tcW w:w="5962" w:type="dxa"/>
            <w:vAlign w:val="center"/>
          </w:tcPr>
          <w:p w14:paraId="7E320478" w14:textId="0C6646C3" w:rsidR="007864A1" w:rsidRPr="005A0505" w:rsidRDefault="004B53DE" w:rsidP="00183D79">
            <w:pPr>
              <w:spacing w:after="0" w:line="240" w:lineRule="auto"/>
              <w:rPr>
                <w:rFonts w:ascii="Lato" w:hAnsi="Lato"/>
                <w:color w:val="auto"/>
                <w:lang w:val="en-US"/>
              </w:rPr>
            </w:pPr>
            <w:r w:rsidRPr="004B53DE">
              <w:rPr>
                <w:rFonts w:ascii="Lato" w:hAnsi="Lato"/>
                <w:color w:val="auto"/>
                <w:lang w:val="en-US"/>
              </w:rPr>
              <w:t xml:space="preserve">Seismic Vibrator ATS </w:t>
            </w:r>
            <w:proofErr w:type="spellStart"/>
            <w:r w:rsidRPr="004B53DE">
              <w:rPr>
                <w:rFonts w:ascii="Lato" w:hAnsi="Lato"/>
                <w:color w:val="auto"/>
                <w:lang w:val="en-US"/>
              </w:rPr>
              <w:t>nr</w:t>
            </w:r>
            <w:proofErr w:type="spellEnd"/>
            <w:r w:rsidRPr="004B53DE">
              <w:rPr>
                <w:rFonts w:ascii="Lato" w:hAnsi="Lato"/>
                <w:color w:val="auto"/>
                <w:lang w:val="en-US"/>
              </w:rPr>
              <w:t xml:space="preserve"> 6</w:t>
            </w:r>
            <w:r>
              <w:rPr>
                <w:rFonts w:ascii="Lato" w:hAnsi="Lato"/>
                <w:color w:val="auto"/>
                <w:lang w:val="en-US"/>
              </w:rPr>
              <w:t>68</w:t>
            </w:r>
          </w:p>
        </w:tc>
        <w:tc>
          <w:tcPr>
            <w:tcW w:w="1081" w:type="dxa"/>
          </w:tcPr>
          <w:p w14:paraId="5FE2745D" w14:textId="03C6A7EC" w:rsidR="007864A1" w:rsidRPr="005A0505" w:rsidRDefault="007864A1" w:rsidP="00183D79">
            <w:pPr>
              <w:spacing w:after="0" w:line="240" w:lineRule="auto"/>
              <w:jc w:val="right"/>
              <w:rPr>
                <w:rFonts w:ascii="Lato" w:hAnsi="Lato"/>
                <w:color w:val="auto"/>
              </w:rPr>
            </w:pPr>
          </w:p>
        </w:tc>
        <w:tc>
          <w:tcPr>
            <w:tcW w:w="2071" w:type="dxa"/>
            <w:vMerge/>
          </w:tcPr>
          <w:p w14:paraId="0D970EE5" w14:textId="77777777" w:rsidR="007864A1" w:rsidRPr="005A0505" w:rsidRDefault="007864A1" w:rsidP="00183D79">
            <w:pPr>
              <w:spacing w:after="0" w:line="240" w:lineRule="auto"/>
              <w:rPr>
                <w:rFonts w:ascii="Lato" w:hAnsi="Lato"/>
                <w:color w:val="auto"/>
              </w:rPr>
            </w:pPr>
          </w:p>
        </w:tc>
      </w:tr>
      <w:tr w:rsidR="007864A1" w:rsidRPr="005A0505" w14:paraId="100BD1BB" w14:textId="77777777" w:rsidTr="00183D79">
        <w:tc>
          <w:tcPr>
            <w:tcW w:w="662" w:type="dxa"/>
          </w:tcPr>
          <w:p w14:paraId="1B43E6F5" w14:textId="77777777" w:rsidR="007864A1" w:rsidRPr="005A0505" w:rsidRDefault="007864A1" w:rsidP="00183D79">
            <w:pPr>
              <w:spacing w:after="0" w:line="240" w:lineRule="auto"/>
              <w:rPr>
                <w:rFonts w:ascii="Lato" w:hAnsi="Lato"/>
                <w:color w:val="auto"/>
              </w:rPr>
            </w:pPr>
            <w:r w:rsidRPr="005A0505">
              <w:rPr>
                <w:rFonts w:ascii="Lato" w:hAnsi="Lato"/>
                <w:color w:val="auto"/>
              </w:rPr>
              <w:t>6</w:t>
            </w:r>
          </w:p>
        </w:tc>
        <w:tc>
          <w:tcPr>
            <w:tcW w:w="5962" w:type="dxa"/>
            <w:vAlign w:val="center"/>
          </w:tcPr>
          <w:p w14:paraId="16FFF9D5" w14:textId="3F2F16A5" w:rsidR="007864A1" w:rsidRPr="005A0505" w:rsidRDefault="004B53DE" w:rsidP="00183D79">
            <w:pPr>
              <w:spacing w:after="0" w:line="240" w:lineRule="auto"/>
              <w:rPr>
                <w:rFonts w:ascii="Lato" w:hAnsi="Lato"/>
                <w:color w:val="auto"/>
                <w:lang w:val="en-US"/>
              </w:rPr>
            </w:pPr>
            <w:r w:rsidRPr="004B53DE">
              <w:rPr>
                <w:rFonts w:ascii="Lato" w:hAnsi="Lato"/>
                <w:color w:val="auto"/>
                <w:lang w:val="en-US"/>
              </w:rPr>
              <w:t>Spare parts ( according to attachment no 6)</w:t>
            </w:r>
          </w:p>
        </w:tc>
        <w:tc>
          <w:tcPr>
            <w:tcW w:w="1081" w:type="dxa"/>
          </w:tcPr>
          <w:p w14:paraId="75201606" w14:textId="59E1B7EE" w:rsidR="007864A1" w:rsidRPr="005A0505" w:rsidRDefault="007864A1" w:rsidP="00183D79">
            <w:pPr>
              <w:spacing w:after="0" w:line="240" w:lineRule="auto"/>
              <w:jc w:val="right"/>
              <w:rPr>
                <w:rFonts w:ascii="Lato" w:hAnsi="Lato"/>
                <w:color w:val="auto"/>
              </w:rPr>
            </w:pPr>
          </w:p>
        </w:tc>
        <w:tc>
          <w:tcPr>
            <w:tcW w:w="2071" w:type="dxa"/>
            <w:vMerge/>
          </w:tcPr>
          <w:p w14:paraId="6AF9E67A" w14:textId="77777777" w:rsidR="007864A1" w:rsidRPr="005A0505" w:rsidRDefault="007864A1" w:rsidP="00183D79">
            <w:pPr>
              <w:spacing w:after="0" w:line="240" w:lineRule="auto"/>
              <w:rPr>
                <w:rFonts w:ascii="Lato" w:hAnsi="Lato"/>
                <w:color w:val="auto"/>
              </w:rPr>
            </w:pPr>
          </w:p>
        </w:tc>
      </w:tr>
    </w:tbl>
    <w:p w14:paraId="3CF93C73" w14:textId="7DB2A462" w:rsidR="0072682F" w:rsidRPr="00D92A6E" w:rsidRDefault="0072682F" w:rsidP="0072682F">
      <w:pPr>
        <w:spacing w:after="0"/>
        <w:rPr>
          <w:rFonts w:ascii="Lato" w:hAnsi="Lato"/>
          <w:b/>
          <w:bCs/>
          <w:color w:val="auto"/>
        </w:rPr>
      </w:pPr>
      <w:r w:rsidRPr="00D92A6E">
        <w:rPr>
          <w:rFonts w:ascii="Lato" w:hAnsi="Lato"/>
          <w:b/>
          <w:bCs/>
          <w:color w:val="auto"/>
        </w:rPr>
        <w:t xml:space="preserve">Tab. </w:t>
      </w:r>
      <w:r w:rsidR="00786142">
        <w:rPr>
          <w:rFonts w:ascii="Lato" w:hAnsi="Lato"/>
          <w:b/>
          <w:bCs/>
          <w:color w:val="auto"/>
        </w:rPr>
        <w:t>N</w:t>
      </w:r>
      <w:r w:rsidRPr="00D92A6E">
        <w:rPr>
          <w:rFonts w:ascii="Lato" w:hAnsi="Lato"/>
          <w:b/>
          <w:bCs/>
          <w:color w:val="auto"/>
        </w:rPr>
        <w:t>o 1.</w:t>
      </w:r>
    </w:p>
    <w:p w14:paraId="4090E67D" w14:textId="77777777" w:rsidR="0072682F" w:rsidRPr="00D92A6E" w:rsidRDefault="0072682F" w:rsidP="0072682F">
      <w:pPr>
        <w:jc w:val="center"/>
        <w:rPr>
          <w:rFonts w:ascii="Lato" w:hAnsi="Lato"/>
          <w:color w:val="auto"/>
        </w:rPr>
      </w:pPr>
    </w:p>
    <w:p w14:paraId="11E713AB" w14:textId="77777777" w:rsidR="0072682F" w:rsidRPr="00D92A6E" w:rsidRDefault="0072682F" w:rsidP="0072682F">
      <w:pPr>
        <w:numPr>
          <w:ilvl w:val="0"/>
          <w:numId w:val="12"/>
        </w:numPr>
        <w:spacing w:after="0"/>
        <w:contextualSpacing/>
        <w:jc w:val="center"/>
        <w:rPr>
          <w:rFonts w:ascii="Lato" w:eastAsia="MS ??" w:hAnsi="Lato"/>
          <w:b/>
          <w:color w:val="000000" w:themeColor="text1"/>
        </w:rPr>
      </w:pPr>
      <w:r w:rsidRPr="00D92A6E">
        <w:rPr>
          <w:rFonts w:ascii="Lato" w:eastAsia="MS ??" w:hAnsi="Lato"/>
          <w:b/>
          <w:color w:val="000000" w:themeColor="text1"/>
        </w:rPr>
        <w:t>Conditions for Participation in the Written Tender</w:t>
      </w:r>
    </w:p>
    <w:p w14:paraId="68EA3AD2" w14:textId="77777777" w:rsidR="0072682F" w:rsidRPr="00D92A6E" w:rsidRDefault="0072682F" w:rsidP="0072682F">
      <w:pPr>
        <w:tabs>
          <w:tab w:val="left" w:pos="735"/>
        </w:tabs>
        <w:rPr>
          <w:rFonts w:ascii="Lato" w:hAnsi="Lato"/>
          <w:color w:val="auto"/>
        </w:rPr>
      </w:pPr>
    </w:p>
    <w:p w14:paraId="7CDF70DD" w14:textId="59749647" w:rsidR="0072682F" w:rsidRPr="00D92A6E" w:rsidRDefault="0072682F" w:rsidP="0072682F">
      <w:pPr>
        <w:pStyle w:val="Akapitzlist"/>
        <w:numPr>
          <w:ilvl w:val="0"/>
          <w:numId w:val="10"/>
        </w:numPr>
        <w:tabs>
          <w:tab w:val="clear" w:pos="720"/>
          <w:tab w:val="num" w:pos="567"/>
        </w:tabs>
        <w:spacing w:line="276" w:lineRule="auto"/>
        <w:ind w:left="567" w:hanging="283"/>
        <w:jc w:val="both"/>
        <w:rPr>
          <w:rFonts w:ascii="Lato" w:hAnsi="Lato"/>
          <w:color w:val="auto"/>
          <w:sz w:val="22"/>
          <w:szCs w:val="22"/>
        </w:rPr>
      </w:pPr>
      <w:r w:rsidRPr="00786142">
        <w:rPr>
          <w:rFonts w:ascii="Lato" w:hAnsi="Lato"/>
          <w:b/>
          <w:bCs/>
          <w:color w:val="auto"/>
          <w:sz w:val="22"/>
          <w:szCs w:val="22"/>
        </w:rPr>
        <w:t xml:space="preserve">The deadline for submitting bids expires on </w:t>
      </w:r>
      <w:r w:rsidR="00452224">
        <w:rPr>
          <w:rFonts w:ascii="Lato" w:hAnsi="Lato"/>
          <w:b/>
          <w:bCs/>
          <w:color w:val="auto"/>
          <w:sz w:val="22"/>
          <w:szCs w:val="22"/>
        </w:rPr>
        <w:t>21.11</w:t>
      </w:r>
      <w:r w:rsidR="00D92A6E" w:rsidRPr="00786142">
        <w:rPr>
          <w:rFonts w:ascii="Lato" w:hAnsi="Lato"/>
          <w:b/>
          <w:bCs/>
          <w:color w:val="auto"/>
          <w:sz w:val="22"/>
          <w:szCs w:val="22"/>
        </w:rPr>
        <w:t>.2025.</w:t>
      </w:r>
      <w:r w:rsidRPr="00786142">
        <w:rPr>
          <w:rFonts w:ascii="Lato" w:hAnsi="Lato"/>
          <w:color w:val="auto"/>
          <w:sz w:val="22"/>
          <w:szCs w:val="22"/>
        </w:rPr>
        <w:t xml:space="preserve"> Tender</w:t>
      </w:r>
      <w:r w:rsidRPr="00D92A6E">
        <w:rPr>
          <w:rFonts w:ascii="Lato" w:hAnsi="Lato"/>
          <w:color w:val="auto"/>
          <w:sz w:val="22"/>
          <w:szCs w:val="22"/>
        </w:rPr>
        <w:t xml:space="preserve"> location: headquarters of </w:t>
      </w:r>
      <w:proofErr w:type="spellStart"/>
      <w:r w:rsidRPr="00D92A6E">
        <w:rPr>
          <w:rFonts w:ascii="Lato" w:hAnsi="Lato"/>
          <w:color w:val="auto"/>
          <w:sz w:val="22"/>
          <w:szCs w:val="22"/>
        </w:rPr>
        <w:t>Geofizyka</w:t>
      </w:r>
      <w:proofErr w:type="spellEnd"/>
      <w:r w:rsidRPr="00D92A6E">
        <w:rPr>
          <w:rFonts w:ascii="Lato" w:hAnsi="Lato"/>
          <w:color w:val="auto"/>
          <w:sz w:val="22"/>
          <w:szCs w:val="22"/>
        </w:rPr>
        <w:t xml:space="preserve"> </w:t>
      </w:r>
      <w:proofErr w:type="spellStart"/>
      <w:r w:rsidRPr="00D92A6E">
        <w:rPr>
          <w:rFonts w:ascii="Lato" w:hAnsi="Lato"/>
          <w:color w:val="auto"/>
          <w:sz w:val="22"/>
          <w:szCs w:val="22"/>
        </w:rPr>
        <w:t>Toruń</w:t>
      </w:r>
      <w:proofErr w:type="spellEnd"/>
      <w:r w:rsidRPr="00D92A6E">
        <w:rPr>
          <w:rFonts w:ascii="Lato" w:hAnsi="Lato"/>
          <w:color w:val="auto"/>
          <w:sz w:val="22"/>
          <w:szCs w:val="22"/>
        </w:rPr>
        <w:t xml:space="preserve"> S.A., </w:t>
      </w:r>
      <w:proofErr w:type="spellStart"/>
      <w:r w:rsidRPr="00D92A6E">
        <w:rPr>
          <w:rFonts w:ascii="Lato" w:hAnsi="Lato"/>
          <w:color w:val="auto"/>
          <w:sz w:val="22"/>
          <w:szCs w:val="22"/>
        </w:rPr>
        <w:t>ul</w:t>
      </w:r>
      <w:proofErr w:type="spellEnd"/>
      <w:r w:rsidRPr="00D92A6E">
        <w:rPr>
          <w:rFonts w:ascii="Lato" w:hAnsi="Lato"/>
          <w:color w:val="auto"/>
          <w:sz w:val="22"/>
          <w:szCs w:val="22"/>
        </w:rPr>
        <w:t xml:space="preserve">. B. </w:t>
      </w:r>
      <w:proofErr w:type="spellStart"/>
      <w:r w:rsidRPr="00D92A6E">
        <w:rPr>
          <w:rFonts w:ascii="Lato" w:hAnsi="Lato"/>
          <w:color w:val="auto"/>
          <w:sz w:val="22"/>
          <w:szCs w:val="22"/>
        </w:rPr>
        <w:t>Chrobrego</w:t>
      </w:r>
      <w:proofErr w:type="spellEnd"/>
      <w:r w:rsidRPr="00D92A6E">
        <w:rPr>
          <w:rFonts w:ascii="Lato" w:hAnsi="Lato"/>
          <w:color w:val="auto"/>
          <w:sz w:val="22"/>
          <w:szCs w:val="22"/>
        </w:rPr>
        <w:t xml:space="preserve"> 50, 87-100 </w:t>
      </w:r>
      <w:proofErr w:type="spellStart"/>
      <w:r w:rsidRPr="00D92A6E">
        <w:rPr>
          <w:rFonts w:ascii="Lato" w:hAnsi="Lato"/>
          <w:color w:val="auto"/>
          <w:sz w:val="22"/>
          <w:szCs w:val="22"/>
        </w:rPr>
        <w:t>Toruń</w:t>
      </w:r>
      <w:proofErr w:type="spellEnd"/>
      <w:r w:rsidRPr="00D92A6E">
        <w:rPr>
          <w:rFonts w:ascii="Lato" w:hAnsi="Lato"/>
          <w:color w:val="auto"/>
          <w:sz w:val="22"/>
          <w:szCs w:val="22"/>
        </w:rPr>
        <w:t>, Poland.</w:t>
      </w:r>
    </w:p>
    <w:p w14:paraId="22F9C1AD" w14:textId="77777777" w:rsidR="0072682F" w:rsidRPr="00D92A6E" w:rsidRDefault="0072682F" w:rsidP="0072682F">
      <w:pPr>
        <w:pStyle w:val="Akapitzlist"/>
        <w:numPr>
          <w:ilvl w:val="0"/>
          <w:numId w:val="10"/>
        </w:numPr>
        <w:tabs>
          <w:tab w:val="clear" w:pos="720"/>
          <w:tab w:val="num" w:pos="567"/>
        </w:tabs>
        <w:spacing w:line="276" w:lineRule="auto"/>
        <w:ind w:left="567" w:hanging="283"/>
        <w:jc w:val="both"/>
        <w:rPr>
          <w:rFonts w:ascii="Lato" w:hAnsi="Lato"/>
          <w:color w:val="auto"/>
          <w:sz w:val="22"/>
          <w:szCs w:val="22"/>
        </w:rPr>
      </w:pPr>
      <w:r w:rsidRPr="00D92A6E">
        <w:rPr>
          <w:rFonts w:ascii="Lato" w:hAnsi="Lato"/>
          <w:color w:val="auto"/>
          <w:sz w:val="22"/>
          <w:szCs w:val="22"/>
        </w:rPr>
        <w:t>The bidder is required to submit an offer for the entire set of equipment. Partial bids, i.e., for individual components of the equipment set, are not allowed. The proposed price for the entire set of equipment may not be lower than the starting price.</w:t>
      </w:r>
    </w:p>
    <w:p w14:paraId="6287D932" w14:textId="28212D18" w:rsidR="0072682F" w:rsidRPr="00786142" w:rsidRDefault="0072682F" w:rsidP="0072682F">
      <w:pPr>
        <w:numPr>
          <w:ilvl w:val="0"/>
          <w:numId w:val="10"/>
        </w:numPr>
        <w:tabs>
          <w:tab w:val="clear" w:pos="720"/>
          <w:tab w:val="num" w:pos="567"/>
        </w:tabs>
        <w:spacing w:after="0"/>
        <w:ind w:left="567" w:hanging="283"/>
        <w:jc w:val="both"/>
        <w:rPr>
          <w:rFonts w:ascii="Lato" w:hAnsi="Lato"/>
          <w:bCs/>
          <w:color w:val="auto"/>
        </w:rPr>
      </w:pPr>
      <w:r w:rsidRPr="00D92A6E">
        <w:rPr>
          <w:rFonts w:ascii="Lato" w:hAnsi="Lato"/>
          <w:color w:val="auto"/>
        </w:rPr>
        <w:t xml:space="preserve">A prerequisite for participation in the tender is the payment of </w:t>
      </w:r>
      <w:r w:rsidRPr="00786142">
        <w:rPr>
          <w:rFonts w:ascii="Lato" w:hAnsi="Lato"/>
          <w:b/>
          <w:bCs/>
          <w:color w:val="auto"/>
        </w:rPr>
        <w:t>a bid bond in the amount of 10%</w:t>
      </w:r>
      <w:r w:rsidRPr="00D92A6E">
        <w:rPr>
          <w:rFonts w:ascii="Lato" w:hAnsi="Lato"/>
          <w:color w:val="auto"/>
        </w:rPr>
        <w:t xml:space="preserve"> of the starting price of the equipment set, no </w:t>
      </w:r>
      <w:r w:rsidRPr="00786142">
        <w:rPr>
          <w:rFonts w:ascii="Lato" w:hAnsi="Lato"/>
          <w:color w:val="auto"/>
        </w:rPr>
        <w:t xml:space="preserve">later than </w:t>
      </w:r>
      <w:r w:rsidR="00452224" w:rsidRPr="00452224">
        <w:rPr>
          <w:rFonts w:ascii="Lato" w:hAnsi="Lato"/>
          <w:b/>
          <w:color w:val="auto"/>
        </w:rPr>
        <w:t>21.11</w:t>
      </w:r>
      <w:r w:rsidRPr="00452224">
        <w:rPr>
          <w:rFonts w:ascii="Lato" w:hAnsi="Lato"/>
          <w:b/>
          <w:bCs/>
          <w:color w:val="auto"/>
        </w:rPr>
        <w:t>.2025</w:t>
      </w:r>
      <w:r w:rsidRPr="00786142">
        <w:rPr>
          <w:rFonts w:ascii="Lato" w:hAnsi="Lato"/>
          <w:b/>
          <w:bCs/>
          <w:color w:val="auto"/>
        </w:rPr>
        <w:t>, by 3:00 PM GMT+1.</w:t>
      </w:r>
      <w:r w:rsidRPr="00786142">
        <w:rPr>
          <w:rFonts w:ascii="Lato" w:hAnsi="Lato"/>
          <w:color w:val="auto"/>
        </w:rPr>
        <w:t xml:space="preserve"> The bid bond must be paid by wire transfer to the account of </w:t>
      </w:r>
      <w:proofErr w:type="spellStart"/>
      <w:r w:rsidRPr="00786142">
        <w:rPr>
          <w:rFonts w:ascii="Lato" w:hAnsi="Lato"/>
          <w:color w:val="auto"/>
        </w:rPr>
        <w:t>Geofizyka</w:t>
      </w:r>
      <w:proofErr w:type="spellEnd"/>
      <w:r w:rsidRPr="00786142">
        <w:rPr>
          <w:rFonts w:ascii="Lato" w:hAnsi="Lato"/>
          <w:color w:val="auto"/>
        </w:rPr>
        <w:t xml:space="preserve"> </w:t>
      </w:r>
      <w:proofErr w:type="spellStart"/>
      <w:r w:rsidRPr="00786142">
        <w:rPr>
          <w:rFonts w:ascii="Lato" w:hAnsi="Lato"/>
          <w:color w:val="auto"/>
        </w:rPr>
        <w:t>Toruń</w:t>
      </w:r>
      <w:proofErr w:type="spellEnd"/>
      <w:r w:rsidRPr="00786142">
        <w:rPr>
          <w:rFonts w:ascii="Lato" w:hAnsi="Lato"/>
          <w:color w:val="auto"/>
        </w:rPr>
        <w:t xml:space="preserve"> S.A.:</w:t>
      </w:r>
    </w:p>
    <w:p w14:paraId="10A43AB8" w14:textId="77777777" w:rsidR="0072682F" w:rsidRPr="00786142" w:rsidRDefault="0072682F" w:rsidP="0072682F">
      <w:pPr>
        <w:spacing w:after="0"/>
        <w:ind w:left="644"/>
        <w:jc w:val="center"/>
        <w:rPr>
          <w:rFonts w:ascii="Lato" w:hAnsi="Lato"/>
          <w:b/>
          <w:color w:val="auto"/>
          <w:lang w:val="en-US"/>
        </w:rPr>
      </w:pPr>
      <w:bookmarkStart w:id="1" w:name="_Hlk195786990"/>
      <w:r w:rsidRPr="00786142">
        <w:rPr>
          <w:rFonts w:ascii="Lato" w:hAnsi="Lato"/>
          <w:b/>
          <w:color w:val="auto"/>
          <w:lang w:val="en-US"/>
        </w:rPr>
        <w:t>Currency USD IBAN: PL10 1840 0007 2911 6140 0813 0922</w:t>
      </w:r>
    </w:p>
    <w:p w14:paraId="076D595F" w14:textId="77777777" w:rsidR="0072682F" w:rsidRPr="00786142" w:rsidRDefault="0072682F" w:rsidP="0072682F">
      <w:pPr>
        <w:spacing w:after="0"/>
        <w:ind w:left="644"/>
        <w:jc w:val="center"/>
        <w:rPr>
          <w:rFonts w:ascii="Lato" w:hAnsi="Lato"/>
          <w:b/>
          <w:color w:val="auto"/>
          <w:lang w:val="en-US"/>
        </w:rPr>
      </w:pPr>
      <w:r w:rsidRPr="00786142">
        <w:rPr>
          <w:rFonts w:ascii="Lato" w:hAnsi="Lato"/>
          <w:b/>
          <w:color w:val="auto"/>
          <w:lang w:val="en-US"/>
        </w:rPr>
        <w:t>SWIFT: SOGEPLPW</w:t>
      </w:r>
    </w:p>
    <w:bookmarkEnd w:id="1"/>
    <w:p w14:paraId="090A51A7" w14:textId="77777777" w:rsidR="0072682F" w:rsidRPr="00786142" w:rsidRDefault="0072682F" w:rsidP="0072682F">
      <w:pPr>
        <w:spacing w:after="0"/>
        <w:ind w:left="644"/>
        <w:jc w:val="center"/>
        <w:rPr>
          <w:rFonts w:ascii="Lato" w:hAnsi="Lato"/>
          <w:b/>
          <w:color w:val="auto"/>
          <w:lang w:val="en-US"/>
        </w:rPr>
      </w:pPr>
    </w:p>
    <w:p w14:paraId="6BEB39B9" w14:textId="77777777" w:rsidR="0072682F" w:rsidRPr="00D92A6E" w:rsidRDefault="0072682F" w:rsidP="0072682F">
      <w:pPr>
        <w:spacing w:after="0"/>
        <w:ind w:left="644"/>
        <w:jc w:val="both"/>
        <w:rPr>
          <w:rFonts w:ascii="Lato" w:hAnsi="Lato"/>
          <w:bCs/>
          <w:color w:val="auto"/>
        </w:rPr>
      </w:pPr>
      <w:bookmarkStart w:id="2" w:name="_Hlk196378580"/>
      <w:r w:rsidRPr="00786142">
        <w:rPr>
          <w:rFonts w:ascii="Lato" w:hAnsi="Lato"/>
          <w:bCs/>
          <w:color w:val="auto"/>
        </w:rPr>
        <w:t>The bid bond may only be paid by the bidder, not by another entity on their behalf. The transfer title must include the announcement number and the name</w:t>
      </w:r>
      <w:r w:rsidRPr="00D92A6E">
        <w:rPr>
          <w:rFonts w:ascii="Lato" w:hAnsi="Lato"/>
          <w:bCs/>
          <w:color w:val="auto"/>
        </w:rPr>
        <w:t xml:space="preserve"> and surname of the bidder (buyer), or, in the case of entities other than natural persons, the company name and TIN (Tax Identification Number) of the bidder making the payment.</w:t>
      </w:r>
      <w:bookmarkEnd w:id="2"/>
    </w:p>
    <w:p w14:paraId="3A12680B" w14:textId="2D1688F0" w:rsidR="0072682F" w:rsidRPr="00786142" w:rsidRDefault="0072682F" w:rsidP="0072682F">
      <w:pPr>
        <w:numPr>
          <w:ilvl w:val="0"/>
          <w:numId w:val="10"/>
        </w:numPr>
        <w:tabs>
          <w:tab w:val="clear" w:pos="720"/>
          <w:tab w:val="num" w:pos="644"/>
        </w:tabs>
        <w:spacing w:after="0"/>
        <w:ind w:left="644"/>
        <w:jc w:val="both"/>
        <w:rPr>
          <w:rFonts w:ascii="Lato" w:hAnsi="Lato"/>
          <w:b/>
          <w:color w:val="auto"/>
        </w:rPr>
      </w:pPr>
      <w:r w:rsidRPr="00786142">
        <w:rPr>
          <w:rFonts w:ascii="Lato" w:hAnsi="Lato"/>
          <w:b/>
          <w:color w:val="auto"/>
        </w:rPr>
        <w:t xml:space="preserve">The condition of payment of the bid bond is deemed fulfilled when the amount is credited to the bank account of </w:t>
      </w:r>
      <w:proofErr w:type="spellStart"/>
      <w:r w:rsidRPr="00786142">
        <w:rPr>
          <w:rFonts w:ascii="Lato" w:hAnsi="Lato"/>
          <w:b/>
          <w:color w:val="auto"/>
        </w:rPr>
        <w:t>Geofizyka</w:t>
      </w:r>
      <w:proofErr w:type="spellEnd"/>
      <w:r w:rsidRPr="00786142">
        <w:rPr>
          <w:rFonts w:ascii="Lato" w:hAnsi="Lato"/>
          <w:b/>
          <w:color w:val="auto"/>
        </w:rPr>
        <w:t xml:space="preserve"> </w:t>
      </w:r>
      <w:proofErr w:type="spellStart"/>
      <w:r w:rsidRPr="00786142">
        <w:rPr>
          <w:rFonts w:ascii="Lato" w:hAnsi="Lato"/>
          <w:b/>
          <w:color w:val="auto"/>
        </w:rPr>
        <w:t>Toruń</w:t>
      </w:r>
      <w:proofErr w:type="spellEnd"/>
      <w:r w:rsidRPr="00786142">
        <w:rPr>
          <w:rFonts w:ascii="Lato" w:hAnsi="Lato"/>
          <w:b/>
          <w:color w:val="auto"/>
        </w:rPr>
        <w:t xml:space="preserve"> S.A. by </w:t>
      </w:r>
      <w:r w:rsidR="00452224">
        <w:rPr>
          <w:rFonts w:ascii="Lato" w:hAnsi="Lato"/>
          <w:b/>
          <w:color w:val="auto"/>
        </w:rPr>
        <w:t>21.11</w:t>
      </w:r>
      <w:r w:rsidR="00786142" w:rsidRPr="00786142">
        <w:rPr>
          <w:rFonts w:ascii="Lato" w:hAnsi="Lato"/>
          <w:b/>
          <w:color w:val="auto"/>
        </w:rPr>
        <w:t>.</w:t>
      </w:r>
      <w:r w:rsidRPr="00786142">
        <w:rPr>
          <w:rFonts w:ascii="Lato" w:hAnsi="Lato"/>
          <w:b/>
          <w:color w:val="auto"/>
        </w:rPr>
        <w:t>2025, by 3:00 PM GMT+1 and is shown on the statement of the aforementioned bank account.</w:t>
      </w:r>
    </w:p>
    <w:p w14:paraId="6F2E2EF5" w14:textId="77777777" w:rsidR="0072682F" w:rsidRPr="00D92A6E" w:rsidRDefault="0072682F" w:rsidP="0072682F">
      <w:pPr>
        <w:numPr>
          <w:ilvl w:val="0"/>
          <w:numId w:val="10"/>
        </w:numPr>
        <w:tabs>
          <w:tab w:val="clear" w:pos="720"/>
          <w:tab w:val="num" w:pos="644"/>
        </w:tabs>
        <w:spacing w:after="0"/>
        <w:ind w:left="644"/>
        <w:jc w:val="both"/>
        <w:rPr>
          <w:rFonts w:ascii="Lato" w:hAnsi="Lato"/>
          <w:color w:val="auto"/>
        </w:rPr>
      </w:pPr>
      <w:r w:rsidRPr="00D92A6E">
        <w:rPr>
          <w:rFonts w:ascii="Lato" w:hAnsi="Lato"/>
          <w:color w:val="auto"/>
        </w:rPr>
        <w:t xml:space="preserve">The bid bond shall be forfeited to the Company if none of the participants in the tender offers the starting price, or if the bidder whose offer is accepted fails to conclude the sales </w:t>
      </w:r>
      <w:r w:rsidRPr="00D92A6E">
        <w:rPr>
          <w:rFonts w:ascii="Lato" w:hAnsi="Lato"/>
          <w:color w:val="auto"/>
        </w:rPr>
        <w:lastRenderedPageBreak/>
        <w:t>contract or fails to perform/improperly performs the concluded sales contract, e.g., payment after the deadline, incomplete payment.</w:t>
      </w:r>
    </w:p>
    <w:p w14:paraId="59CC5959" w14:textId="77777777" w:rsidR="0072682F" w:rsidRPr="00D92A6E" w:rsidRDefault="0072682F" w:rsidP="0072682F">
      <w:pPr>
        <w:numPr>
          <w:ilvl w:val="0"/>
          <w:numId w:val="10"/>
        </w:numPr>
        <w:tabs>
          <w:tab w:val="clear" w:pos="720"/>
          <w:tab w:val="num" w:pos="644"/>
        </w:tabs>
        <w:spacing w:after="0"/>
        <w:ind w:left="644"/>
        <w:jc w:val="both"/>
        <w:rPr>
          <w:rFonts w:ascii="Lato" w:hAnsi="Lato"/>
          <w:color w:val="auto"/>
        </w:rPr>
      </w:pPr>
      <w:r w:rsidRPr="00D92A6E">
        <w:rPr>
          <w:rFonts w:ascii="Lato" w:hAnsi="Lato"/>
          <w:color w:val="auto"/>
        </w:rPr>
        <w:t>Bid bonds submitted by bidders whose offers have not been selected shall be returned immediately, but no later than 30 days from the announcement of the tender results. The return shall be made to the same bank account from which the payment was made.</w:t>
      </w:r>
    </w:p>
    <w:p w14:paraId="0F8C9E5A" w14:textId="77777777" w:rsidR="0072682F" w:rsidRPr="00D92A6E" w:rsidRDefault="0072682F" w:rsidP="0072682F">
      <w:pPr>
        <w:numPr>
          <w:ilvl w:val="0"/>
          <w:numId w:val="10"/>
        </w:numPr>
        <w:tabs>
          <w:tab w:val="clear" w:pos="720"/>
          <w:tab w:val="num" w:pos="644"/>
        </w:tabs>
        <w:spacing w:after="0"/>
        <w:ind w:left="644"/>
        <w:jc w:val="both"/>
        <w:rPr>
          <w:rFonts w:ascii="Lato" w:hAnsi="Lato"/>
          <w:color w:val="auto"/>
        </w:rPr>
      </w:pPr>
      <w:r w:rsidRPr="00D92A6E">
        <w:rPr>
          <w:rFonts w:ascii="Lato" w:hAnsi="Lato"/>
          <w:color w:val="auto"/>
        </w:rPr>
        <w:t>The bid bond submitted by the entity whose offer is accepted shall be credited towards the purchase price.</w:t>
      </w:r>
    </w:p>
    <w:p w14:paraId="20A38F34" w14:textId="38004039" w:rsidR="0072682F" w:rsidRPr="00786142" w:rsidRDefault="0072682F" w:rsidP="0072682F">
      <w:pPr>
        <w:numPr>
          <w:ilvl w:val="0"/>
          <w:numId w:val="10"/>
        </w:numPr>
        <w:tabs>
          <w:tab w:val="clear" w:pos="720"/>
          <w:tab w:val="num" w:pos="644"/>
        </w:tabs>
        <w:spacing w:after="0"/>
        <w:ind w:left="644"/>
        <w:jc w:val="both"/>
        <w:rPr>
          <w:rFonts w:ascii="Lato" w:hAnsi="Lato"/>
          <w:color w:val="auto"/>
        </w:rPr>
      </w:pPr>
      <w:r w:rsidRPr="00D92A6E">
        <w:rPr>
          <w:rFonts w:ascii="Lato" w:hAnsi="Lato"/>
          <w:color w:val="auto"/>
        </w:rPr>
        <w:t xml:space="preserve">To participate in the </w:t>
      </w:r>
      <w:r w:rsidRPr="00F623A6">
        <w:rPr>
          <w:rFonts w:ascii="Lato" w:hAnsi="Lato"/>
          <w:color w:val="auto"/>
        </w:rPr>
        <w:t xml:space="preserve">tender, the bidder must submit a bid in the form of scanned and signed documents by persons authorized to represent the entity, in a non-editable file format (e.g., JPG, PDF), to the email address: </w:t>
      </w:r>
      <w:r w:rsidRPr="00F623A6">
        <w:rPr>
          <w:rFonts w:ascii="Lato" w:hAnsi="Lato"/>
          <w:b/>
          <w:bCs/>
          <w:color w:val="auto"/>
        </w:rPr>
        <w:t>tender_0</w:t>
      </w:r>
      <w:r w:rsidR="00452224">
        <w:rPr>
          <w:rFonts w:ascii="Lato" w:hAnsi="Lato"/>
          <w:b/>
          <w:bCs/>
          <w:color w:val="auto"/>
        </w:rPr>
        <w:t>9</w:t>
      </w:r>
      <w:r w:rsidRPr="00F623A6">
        <w:rPr>
          <w:rFonts w:ascii="Lato" w:hAnsi="Lato"/>
          <w:b/>
          <w:bCs/>
          <w:color w:val="auto"/>
        </w:rPr>
        <w:t>_G</w:t>
      </w:r>
      <w:r w:rsidR="00D837A1">
        <w:rPr>
          <w:rFonts w:ascii="Lato" w:hAnsi="Lato"/>
          <w:b/>
          <w:bCs/>
          <w:color w:val="auto"/>
        </w:rPr>
        <w:t>MT</w:t>
      </w:r>
      <w:r w:rsidRPr="00F623A6">
        <w:rPr>
          <w:rFonts w:ascii="Lato" w:hAnsi="Lato"/>
          <w:b/>
          <w:bCs/>
          <w:color w:val="auto"/>
        </w:rPr>
        <w:t>_2025@geofizyka.pl</w:t>
      </w:r>
      <w:r w:rsidRPr="00F623A6">
        <w:rPr>
          <w:rFonts w:ascii="Lato" w:hAnsi="Lato"/>
          <w:color w:val="auto"/>
        </w:rPr>
        <w:t>. The Company allows the submission of all documents in electronic form, bearing a qualified electronic</w:t>
      </w:r>
      <w:r w:rsidRPr="00D92A6E">
        <w:rPr>
          <w:rFonts w:ascii="Lato" w:hAnsi="Lato"/>
          <w:color w:val="auto"/>
        </w:rPr>
        <w:t xml:space="preserve"> signature by the person(s) authorized or empowered to represent the bidder. If the offer is signed by a proxy, a power of attorney for submitting the offer must </w:t>
      </w:r>
      <w:r w:rsidRPr="00786142">
        <w:rPr>
          <w:rFonts w:ascii="Lato" w:hAnsi="Lato"/>
          <w:color w:val="auto"/>
        </w:rPr>
        <w:t>be provided.</w:t>
      </w:r>
    </w:p>
    <w:p w14:paraId="3DB993AF" w14:textId="1FC86469" w:rsidR="0072682F" w:rsidRPr="00D92A6E" w:rsidRDefault="0072682F" w:rsidP="0072682F">
      <w:pPr>
        <w:numPr>
          <w:ilvl w:val="0"/>
          <w:numId w:val="10"/>
        </w:numPr>
        <w:tabs>
          <w:tab w:val="clear" w:pos="720"/>
          <w:tab w:val="num" w:pos="644"/>
        </w:tabs>
        <w:spacing w:after="0"/>
        <w:ind w:left="644"/>
        <w:jc w:val="both"/>
        <w:rPr>
          <w:rFonts w:ascii="Lato" w:hAnsi="Lato"/>
          <w:color w:val="auto"/>
        </w:rPr>
      </w:pPr>
      <w:r w:rsidRPr="00786142">
        <w:rPr>
          <w:rFonts w:ascii="Lato" w:hAnsi="Lato"/>
          <w:color w:val="auto"/>
        </w:rPr>
        <w:t xml:space="preserve">Bids must be received at the above email address no later </w:t>
      </w:r>
      <w:r w:rsidRPr="00786142">
        <w:rPr>
          <w:rFonts w:ascii="Lato" w:hAnsi="Lato"/>
          <w:b/>
          <w:bCs/>
          <w:color w:val="auto"/>
        </w:rPr>
        <w:t xml:space="preserve">than </w:t>
      </w:r>
      <w:r w:rsidR="00452224">
        <w:rPr>
          <w:rFonts w:ascii="Lato" w:hAnsi="Lato"/>
          <w:b/>
          <w:bCs/>
          <w:color w:val="auto"/>
        </w:rPr>
        <w:t>21.11</w:t>
      </w:r>
      <w:r w:rsidR="00D92A6E" w:rsidRPr="00786142">
        <w:rPr>
          <w:rFonts w:ascii="Lato" w:hAnsi="Lato"/>
          <w:b/>
          <w:bCs/>
          <w:color w:val="auto"/>
        </w:rPr>
        <w:t>.2025</w:t>
      </w:r>
      <w:r w:rsidRPr="00786142">
        <w:rPr>
          <w:rFonts w:ascii="Lato" w:hAnsi="Lato"/>
          <w:b/>
          <w:bCs/>
          <w:color w:val="auto"/>
        </w:rPr>
        <w:t>, by 3:</w:t>
      </w:r>
      <w:r w:rsidRPr="006637BA">
        <w:rPr>
          <w:rFonts w:ascii="Lato" w:hAnsi="Lato"/>
          <w:b/>
          <w:bCs/>
          <w:color w:val="auto"/>
        </w:rPr>
        <w:t>00 PM GMT+1</w:t>
      </w:r>
      <w:r w:rsidRPr="00D92A6E">
        <w:rPr>
          <w:rFonts w:ascii="Lato" w:hAnsi="Lato"/>
          <w:color w:val="auto"/>
        </w:rPr>
        <w:t xml:space="preserve">. Offers received after this deadline will not be considered. </w:t>
      </w:r>
    </w:p>
    <w:p w14:paraId="13637998" w14:textId="77777777" w:rsidR="0072682F" w:rsidRDefault="0072682F" w:rsidP="006637BA">
      <w:pPr>
        <w:pStyle w:val="Akapitzlist"/>
        <w:numPr>
          <w:ilvl w:val="0"/>
          <w:numId w:val="10"/>
        </w:numPr>
        <w:tabs>
          <w:tab w:val="clear" w:pos="720"/>
          <w:tab w:val="num" w:pos="709"/>
        </w:tabs>
        <w:spacing w:before="100" w:beforeAutospacing="1" w:after="100" w:afterAutospacing="1" w:line="276" w:lineRule="auto"/>
        <w:rPr>
          <w:rFonts w:ascii="Lato" w:eastAsia="Times New Roman" w:hAnsi="Lato"/>
          <w:color w:val="auto"/>
          <w:sz w:val="22"/>
          <w:szCs w:val="22"/>
        </w:rPr>
      </w:pPr>
      <w:r w:rsidRPr="00D92A6E">
        <w:rPr>
          <w:rFonts w:ascii="Lato" w:eastAsia="Times New Roman" w:hAnsi="Lato"/>
          <w:color w:val="auto"/>
          <w:sz w:val="22"/>
          <w:szCs w:val="22"/>
        </w:rPr>
        <w:t>An electronically submitted offer must include the following attachments:</w:t>
      </w:r>
      <w:r w:rsidRPr="00D92A6E">
        <w:rPr>
          <w:rFonts w:ascii="Lato" w:eastAsia="Times New Roman" w:hAnsi="Lato"/>
          <w:color w:val="auto"/>
          <w:sz w:val="22"/>
          <w:szCs w:val="22"/>
        </w:rPr>
        <w:br/>
        <w:t>a) The bid form prepared using the Bid Form template – Attachment No. 1,</w:t>
      </w:r>
      <w:r w:rsidRPr="00D92A6E">
        <w:rPr>
          <w:rFonts w:ascii="Lato" w:eastAsia="Times New Roman" w:hAnsi="Lato"/>
          <w:color w:val="auto"/>
          <w:sz w:val="22"/>
          <w:szCs w:val="22"/>
        </w:rPr>
        <w:br/>
        <w:t>b) Attachment No. 2 (Information Clause) signed by the bidder,</w:t>
      </w:r>
      <w:r w:rsidRPr="00D92A6E">
        <w:rPr>
          <w:rFonts w:ascii="Lato" w:eastAsia="Times New Roman" w:hAnsi="Lato"/>
          <w:color w:val="auto"/>
          <w:sz w:val="22"/>
          <w:szCs w:val="22"/>
        </w:rPr>
        <w:br/>
        <w:t>c) Proof of payment of the bid bond.</w:t>
      </w:r>
    </w:p>
    <w:p w14:paraId="01E604A5" w14:textId="77777777" w:rsidR="006637BA" w:rsidRPr="00D92A6E" w:rsidRDefault="006637BA" w:rsidP="006637BA">
      <w:pPr>
        <w:pStyle w:val="Akapitzlist"/>
        <w:spacing w:before="100" w:beforeAutospacing="1" w:after="100" w:afterAutospacing="1" w:line="276" w:lineRule="auto"/>
        <w:rPr>
          <w:rFonts w:ascii="Lato" w:eastAsia="Times New Roman" w:hAnsi="Lato"/>
          <w:color w:val="auto"/>
          <w:sz w:val="22"/>
          <w:szCs w:val="22"/>
        </w:rPr>
      </w:pPr>
    </w:p>
    <w:p w14:paraId="52B81D4B" w14:textId="77777777" w:rsidR="006637BA" w:rsidRDefault="0072682F" w:rsidP="0072682F">
      <w:pPr>
        <w:pStyle w:val="Akapitzlist"/>
        <w:spacing w:before="100" w:beforeAutospacing="1" w:after="100" w:afterAutospacing="1" w:line="276" w:lineRule="auto"/>
        <w:rPr>
          <w:rFonts w:ascii="Lato" w:eastAsia="Times New Roman" w:hAnsi="Lato"/>
          <w:color w:val="auto"/>
          <w:sz w:val="22"/>
          <w:szCs w:val="22"/>
        </w:rPr>
      </w:pPr>
      <w:r w:rsidRPr="00D92A6E">
        <w:rPr>
          <w:rFonts w:ascii="Lato" w:eastAsia="Times New Roman" w:hAnsi="Lato"/>
          <w:color w:val="auto"/>
          <w:sz w:val="22"/>
          <w:szCs w:val="22"/>
        </w:rPr>
        <w:t>The declarations required for participation in the tender are included in the Bid Form – Attachment No. 1.</w:t>
      </w:r>
    </w:p>
    <w:p w14:paraId="6A3C679A" w14:textId="07F04C27" w:rsidR="0072682F" w:rsidRDefault="0072682F" w:rsidP="0072682F">
      <w:pPr>
        <w:pStyle w:val="Akapitzlist"/>
        <w:spacing w:before="100" w:beforeAutospacing="1" w:after="100" w:afterAutospacing="1" w:line="276" w:lineRule="auto"/>
        <w:rPr>
          <w:rFonts w:ascii="Lato" w:eastAsia="Times New Roman" w:hAnsi="Lato"/>
          <w:color w:val="auto"/>
          <w:sz w:val="22"/>
          <w:szCs w:val="22"/>
        </w:rPr>
      </w:pPr>
      <w:r w:rsidRPr="00D92A6E">
        <w:rPr>
          <w:rFonts w:ascii="Lato" w:eastAsia="Times New Roman" w:hAnsi="Lato"/>
          <w:color w:val="auto"/>
          <w:sz w:val="22"/>
          <w:szCs w:val="22"/>
        </w:rPr>
        <w:br/>
        <w:t>If the bidder is an entrepreneur conducting business within the territory of the Republic of Poland, the following additional documents are required:</w:t>
      </w:r>
      <w:r w:rsidRPr="00D92A6E">
        <w:rPr>
          <w:rFonts w:ascii="Lato" w:eastAsia="Times New Roman" w:hAnsi="Lato"/>
          <w:color w:val="auto"/>
          <w:sz w:val="22"/>
          <w:szCs w:val="22"/>
        </w:rPr>
        <w:br/>
        <w:t>d) A current excerpt (or equivalent information) from the Register of Entrepreneurs of the National Court Register or a printout from the Central Registration and Information on Business,</w:t>
      </w:r>
      <w:r w:rsidRPr="00D92A6E">
        <w:rPr>
          <w:rFonts w:ascii="Lato" w:eastAsia="Times New Roman" w:hAnsi="Lato"/>
          <w:color w:val="auto"/>
          <w:sz w:val="22"/>
          <w:szCs w:val="22"/>
        </w:rPr>
        <w:br/>
        <w:t>e) A certificate of no tax arrears issued no earlier than one week prior to the bid</w:t>
      </w:r>
      <w:r w:rsidR="006637BA">
        <w:rPr>
          <w:rFonts w:ascii="Lato" w:eastAsia="Times New Roman" w:hAnsi="Lato"/>
          <w:color w:val="auto"/>
          <w:sz w:val="22"/>
          <w:szCs w:val="22"/>
        </w:rPr>
        <w:t xml:space="preserve"> </w:t>
      </w:r>
      <w:r w:rsidRPr="00D92A6E">
        <w:rPr>
          <w:rFonts w:ascii="Lato" w:eastAsia="Times New Roman" w:hAnsi="Lato"/>
          <w:color w:val="auto"/>
          <w:sz w:val="22"/>
          <w:szCs w:val="22"/>
        </w:rPr>
        <w:t>submission deadline,</w:t>
      </w:r>
      <w:r w:rsidRPr="00D92A6E">
        <w:rPr>
          <w:rFonts w:ascii="Lato" w:eastAsia="Times New Roman" w:hAnsi="Lato"/>
          <w:color w:val="auto"/>
          <w:sz w:val="22"/>
          <w:szCs w:val="22"/>
        </w:rPr>
        <w:br/>
        <w:t>f) A certificate of no arrears in paying social security contributions issued no earlier than one week prior to the bid submission deadline.</w:t>
      </w:r>
    </w:p>
    <w:p w14:paraId="096E3511" w14:textId="77777777" w:rsidR="006637BA" w:rsidRPr="00D92A6E" w:rsidRDefault="006637BA" w:rsidP="0072682F">
      <w:pPr>
        <w:pStyle w:val="Akapitzlist"/>
        <w:spacing w:before="100" w:beforeAutospacing="1" w:after="100" w:afterAutospacing="1" w:line="276" w:lineRule="auto"/>
        <w:rPr>
          <w:rFonts w:ascii="Lato" w:eastAsia="Times New Roman" w:hAnsi="Lato"/>
          <w:color w:val="auto"/>
          <w:sz w:val="22"/>
          <w:szCs w:val="22"/>
        </w:rPr>
      </w:pPr>
    </w:p>
    <w:p w14:paraId="2A5F5F4E" w14:textId="77777777" w:rsidR="0072682F" w:rsidRPr="00D92A6E" w:rsidRDefault="0072682F" w:rsidP="0072682F">
      <w:pPr>
        <w:pStyle w:val="Akapitzlist"/>
        <w:spacing w:before="100" w:beforeAutospacing="1" w:after="100" w:afterAutospacing="1" w:line="276" w:lineRule="auto"/>
        <w:rPr>
          <w:rFonts w:ascii="Lato" w:eastAsia="Times New Roman" w:hAnsi="Lato"/>
          <w:color w:val="auto"/>
          <w:sz w:val="22"/>
          <w:szCs w:val="22"/>
        </w:rPr>
      </w:pPr>
      <w:r w:rsidRPr="00D92A6E">
        <w:rPr>
          <w:rFonts w:ascii="Lato" w:eastAsia="Times New Roman" w:hAnsi="Lato"/>
          <w:color w:val="auto"/>
          <w:sz w:val="22"/>
          <w:szCs w:val="22"/>
        </w:rPr>
        <w:t>In the case of foreign entities not conducting business in the territory of the Republic of Poland and not being Polish residents, the following are required:</w:t>
      </w:r>
      <w:r w:rsidRPr="00D92A6E">
        <w:rPr>
          <w:rFonts w:ascii="Lato" w:eastAsia="Times New Roman" w:hAnsi="Lato"/>
          <w:color w:val="auto"/>
          <w:sz w:val="22"/>
          <w:szCs w:val="22"/>
        </w:rPr>
        <w:br/>
        <w:t>a) Confirmation of commercial registration, documentation confirming current information on ownership, legal structure, legal representative(s) (full name, position, and a copy of the identity document from the country of residence), and address, if not included in the commercial register,</w:t>
      </w:r>
      <w:r w:rsidRPr="00D92A6E">
        <w:rPr>
          <w:rFonts w:ascii="Lato" w:eastAsia="Times New Roman" w:hAnsi="Lato"/>
          <w:color w:val="auto"/>
          <w:sz w:val="22"/>
          <w:szCs w:val="22"/>
        </w:rPr>
        <w:br/>
      </w:r>
      <w:r w:rsidRPr="00D92A6E">
        <w:rPr>
          <w:rFonts w:ascii="Lato" w:eastAsia="Times New Roman" w:hAnsi="Lato"/>
          <w:color w:val="auto"/>
          <w:sz w:val="22"/>
          <w:szCs w:val="22"/>
        </w:rPr>
        <w:lastRenderedPageBreak/>
        <w:t>b) A tax residency certificate issued by the tax authority (as proof of tax registration and payment of taxes/government fees),</w:t>
      </w:r>
      <w:r w:rsidRPr="00D92A6E">
        <w:rPr>
          <w:rFonts w:ascii="Lato" w:eastAsia="Times New Roman" w:hAnsi="Lato"/>
          <w:color w:val="auto"/>
          <w:sz w:val="22"/>
          <w:szCs w:val="22"/>
        </w:rPr>
        <w:br/>
        <w:t>c) Financial statements for the most recent and previous year.</w:t>
      </w:r>
    </w:p>
    <w:p w14:paraId="27D7FD71" w14:textId="77777777" w:rsidR="0072682F" w:rsidRPr="00D92A6E" w:rsidRDefault="0072682F" w:rsidP="0072682F">
      <w:pPr>
        <w:pStyle w:val="Akapitzlist"/>
        <w:spacing w:line="276" w:lineRule="auto"/>
        <w:rPr>
          <w:rFonts w:ascii="Lato" w:hAnsi="Lato"/>
        </w:rPr>
      </w:pPr>
    </w:p>
    <w:p w14:paraId="2422A42E" w14:textId="77777777" w:rsidR="0072682F" w:rsidRPr="00D92A6E" w:rsidRDefault="0072682F" w:rsidP="0072682F">
      <w:pPr>
        <w:numPr>
          <w:ilvl w:val="0"/>
          <w:numId w:val="10"/>
        </w:numPr>
        <w:spacing w:after="0"/>
        <w:ind w:left="644" w:right="-210"/>
        <w:contextualSpacing/>
        <w:jc w:val="both"/>
        <w:rPr>
          <w:rFonts w:ascii="Lato" w:eastAsia="Times New Roman" w:hAnsi="Lato"/>
          <w:color w:val="auto"/>
        </w:rPr>
      </w:pPr>
      <w:r w:rsidRPr="00D92A6E">
        <w:rPr>
          <w:rFonts w:ascii="Lato" w:eastAsia="Times New Roman" w:hAnsi="Lato"/>
          <w:color w:val="auto"/>
        </w:rPr>
        <w:t>The Tender Committee performs a formal assessment of the offers and determines which are considered valid, in accordance with the applicable tender conditions, and whether the bidders have paid the required bid bond, and then selects the winning offer.</w:t>
      </w:r>
    </w:p>
    <w:p w14:paraId="6001412A" w14:textId="77777777" w:rsidR="0072682F" w:rsidRPr="00D92A6E" w:rsidRDefault="0072682F" w:rsidP="0072682F">
      <w:pPr>
        <w:numPr>
          <w:ilvl w:val="0"/>
          <w:numId w:val="10"/>
        </w:numPr>
        <w:spacing w:after="0"/>
        <w:ind w:left="644" w:right="-210"/>
        <w:contextualSpacing/>
        <w:jc w:val="both"/>
        <w:rPr>
          <w:rFonts w:ascii="Lato" w:eastAsia="Times New Roman" w:hAnsi="Lato"/>
          <w:color w:val="auto"/>
        </w:rPr>
      </w:pPr>
      <w:r w:rsidRPr="00D92A6E">
        <w:rPr>
          <w:rFonts w:ascii="Lato" w:eastAsia="Times New Roman" w:hAnsi="Lato"/>
          <w:color w:val="auto"/>
        </w:rPr>
        <w:t>Following the selection of the offer and verification of the contractor, the Tender Committee will notify each bidder of the tender result via email.</w:t>
      </w:r>
    </w:p>
    <w:p w14:paraId="2B2DDAE6" w14:textId="77777777" w:rsidR="0072682F" w:rsidRPr="00D92A6E" w:rsidRDefault="0072682F" w:rsidP="0072682F">
      <w:pPr>
        <w:numPr>
          <w:ilvl w:val="0"/>
          <w:numId w:val="10"/>
        </w:numPr>
        <w:spacing w:after="0"/>
        <w:ind w:left="644" w:right="-210"/>
        <w:contextualSpacing/>
        <w:jc w:val="both"/>
        <w:rPr>
          <w:rFonts w:ascii="Lato" w:eastAsia="Times New Roman" w:hAnsi="Lato"/>
          <w:color w:val="auto"/>
        </w:rPr>
      </w:pPr>
      <w:r w:rsidRPr="00D92A6E">
        <w:rPr>
          <w:rFonts w:ascii="Lato" w:eastAsia="Times New Roman" w:hAnsi="Lato"/>
          <w:color w:val="auto"/>
        </w:rPr>
        <w:t>The criterion for evaluating the offer is the proposed price. In the case of multiple identical price offers, the Company may request the Bidders via email to submit an additional price offer, simultaneously setting a new deadline for the submission of offers, without waiving its right to freely choose an offer in the event of several identical price offers.</w:t>
      </w:r>
    </w:p>
    <w:p w14:paraId="19337FF3" w14:textId="77777777" w:rsidR="0072682F" w:rsidRPr="00D92A6E" w:rsidRDefault="0072682F" w:rsidP="0072682F">
      <w:pPr>
        <w:numPr>
          <w:ilvl w:val="0"/>
          <w:numId w:val="10"/>
        </w:numPr>
        <w:spacing w:after="0"/>
        <w:ind w:left="644" w:right="-210"/>
        <w:contextualSpacing/>
        <w:jc w:val="both"/>
        <w:rPr>
          <w:rFonts w:ascii="Lato" w:eastAsia="Times New Roman" w:hAnsi="Lato"/>
          <w:color w:val="auto"/>
        </w:rPr>
      </w:pPr>
      <w:r w:rsidRPr="00D92A6E">
        <w:rPr>
          <w:rFonts w:ascii="Lato" w:eastAsia="Times New Roman" w:hAnsi="Lato"/>
          <w:color w:val="auto"/>
        </w:rPr>
        <w:t xml:space="preserve">In the event of failure by the tender winner to pay the price within the designated period, the bid bond paid by them shall be forfeited to the Company or, alternatively, credited against any claim the Company may have against the tender winner on any account. The Tender Committee reserves the right to select the bidder who submitted the next most advantageous offer without the need to conduct a new tender procedure.  </w:t>
      </w:r>
    </w:p>
    <w:p w14:paraId="67C0514F" w14:textId="77777777" w:rsidR="0072682F" w:rsidRPr="00D92A6E" w:rsidRDefault="0072682F" w:rsidP="0072682F">
      <w:pPr>
        <w:numPr>
          <w:ilvl w:val="0"/>
          <w:numId w:val="10"/>
        </w:numPr>
        <w:spacing w:after="0"/>
        <w:ind w:left="644" w:right="-210"/>
        <w:contextualSpacing/>
        <w:jc w:val="both"/>
        <w:rPr>
          <w:rFonts w:ascii="Lato" w:eastAsia="Times New Roman" w:hAnsi="Lato"/>
          <w:color w:val="auto"/>
        </w:rPr>
      </w:pPr>
      <w:r w:rsidRPr="00D92A6E">
        <w:rPr>
          <w:rFonts w:ascii="Lato" w:eastAsia="Times New Roman" w:hAnsi="Lato"/>
          <w:color w:val="auto"/>
        </w:rPr>
        <w:t>Companies or legal entities may not participate in the tender if:</w:t>
      </w:r>
    </w:p>
    <w:p w14:paraId="1984D67C" w14:textId="77777777" w:rsidR="0027047D" w:rsidRPr="008F14E2" w:rsidRDefault="0072682F" w:rsidP="0027047D">
      <w:pPr>
        <w:pStyle w:val="Akapitzlist"/>
        <w:numPr>
          <w:ilvl w:val="0"/>
          <w:numId w:val="11"/>
        </w:numPr>
        <w:spacing w:line="276" w:lineRule="auto"/>
        <w:ind w:right="27"/>
        <w:jc w:val="both"/>
        <w:rPr>
          <w:rFonts w:ascii="Lato" w:eastAsia="Times New Roman" w:hAnsi="Lato"/>
          <w:color w:val="auto"/>
          <w:sz w:val="22"/>
          <w:szCs w:val="22"/>
        </w:rPr>
      </w:pPr>
      <w:r w:rsidRPr="00D92A6E">
        <w:rPr>
          <w:rFonts w:ascii="Lato" w:eastAsia="Times New Roman" w:hAnsi="Lato"/>
          <w:color w:val="auto"/>
          <w:sz w:val="22"/>
          <w:szCs w:val="22"/>
        </w:rPr>
        <w:t xml:space="preserve">as of the date of the tender announcement, they are listed by a decision of the Minister of Interior and Administration as entities subject to sanctions or are listed after the tender </w:t>
      </w:r>
      <w:r w:rsidRPr="008F14E2">
        <w:rPr>
          <w:rFonts w:ascii="Lato" w:eastAsia="Times New Roman" w:hAnsi="Lato"/>
          <w:color w:val="auto"/>
          <w:sz w:val="22"/>
          <w:szCs w:val="22"/>
        </w:rPr>
        <w:t xml:space="preserve">has concluded. </w:t>
      </w:r>
      <w:hyperlink r:id="rId8" w:tgtFrame="_new" w:history="1">
        <w:r w:rsidRPr="008F14E2">
          <w:rPr>
            <w:rStyle w:val="Hipercze"/>
            <w:rFonts w:ascii="Lato" w:eastAsia="Times New Roman" w:hAnsi="Lato"/>
            <w:sz w:val="22"/>
            <w:szCs w:val="22"/>
          </w:rPr>
          <w:t>https://www.gov.pl/web/mswia/lista-osob-i-podmiotow-objetych-sankcjami</w:t>
        </w:r>
      </w:hyperlink>
    </w:p>
    <w:p w14:paraId="035E4B40" w14:textId="152A7986" w:rsidR="0072682F" w:rsidRPr="008F14E2" w:rsidRDefault="0072682F" w:rsidP="0027047D">
      <w:pPr>
        <w:pStyle w:val="Akapitzlist"/>
        <w:numPr>
          <w:ilvl w:val="0"/>
          <w:numId w:val="11"/>
        </w:numPr>
        <w:spacing w:line="276" w:lineRule="auto"/>
        <w:ind w:right="27"/>
        <w:jc w:val="both"/>
        <w:rPr>
          <w:rFonts w:ascii="Lato" w:eastAsia="Times New Roman" w:hAnsi="Lato"/>
          <w:color w:val="auto"/>
          <w:sz w:val="22"/>
          <w:szCs w:val="22"/>
        </w:rPr>
      </w:pPr>
      <w:r w:rsidRPr="008F14E2">
        <w:rPr>
          <w:rFonts w:ascii="Lato" w:eastAsia="Times New Roman" w:hAnsi="Lato"/>
          <w:color w:val="auto"/>
        </w:rPr>
        <w:t xml:space="preserve">they are listed in the register of countries and territories applying harmful tax competition in the field of personal income tax: </w:t>
      </w:r>
      <w:hyperlink r:id="rId9" w:tgtFrame="_new" w:history="1">
        <w:r w:rsidRPr="008F14E2">
          <w:rPr>
            <w:rStyle w:val="Hipercze"/>
            <w:rFonts w:ascii="Lato" w:eastAsia="Times New Roman" w:hAnsi="Lato"/>
            <w:sz w:val="22"/>
            <w:szCs w:val="22"/>
          </w:rPr>
          <w:t>https://sip.lex.pl/akty-prawne/dzu-dziennik-ustaw/wykaz-krajow-i-terytoriow-stosujacych-szkodliwa-konkurencje-podatkowa-22091186</w:t>
        </w:r>
      </w:hyperlink>
    </w:p>
    <w:p w14:paraId="5379842E" w14:textId="77777777" w:rsidR="0072682F" w:rsidRPr="00D92A6E" w:rsidRDefault="0072682F" w:rsidP="0072682F">
      <w:pPr>
        <w:pStyle w:val="Akapitzlist"/>
        <w:numPr>
          <w:ilvl w:val="0"/>
          <w:numId w:val="10"/>
        </w:numPr>
        <w:spacing w:line="276" w:lineRule="auto"/>
        <w:ind w:right="27"/>
        <w:jc w:val="both"/>
        <w:rPr>
          <w:rFonts w:ascii="Lato" w:eastAsia="Times New Roman" w:hAnsi="Lato"/>
          <w:color w:val="auto"/>
          <w:sz w:val="22"/>
          <w:szCs w:val="22"/>
        </w:rPr>
      </w:pPr>
      <w:r w:rsidRPr="00D92A6E">
        <w:rPr>
          <w:rFonts w:ascii="Lato" w:eastAsia="Times New Roman" w:hAnsi="Lato"/>
          <w:color w:val="auto"/>
          <w:sz w:val="22"/>
          <w:szCs w:val="22"/>
        </w:rPr>
        <w:t>The Company reserves the right to amend or cancel the tender conditions at any time and at any stage of the tender procedure without giving any reason.</w:t>
      </w:r>
    </w:p>
    <w:p w14:paraId="77D0BFCF" w14:textId="77777777" w:rsidR="0072682F" w:rsidRPr="00D92A6E" w:rsidRDefault="0072682F" w:rsidP="0072682F">
      <w:pPr>
        <w:pStyle w:val="Akapitzlist"/>
        <w:numPr>
          <w:ilvl w:val="0"/>
          <w:numId w:val="10"/>
        </w:numPr>
        <w:spacing w:line="276" w:lineRule="auto"/>
        <w:ind w:right="27"/>
        <w:jc w:val="both"/>
        <w:rPr>
          <w:rFonts w:ascii="Lato" w:eastAsia="Times New Roman" w:hAnsi="Lato"/>
          <w:color w:val="auto"/>
          <w:sz w:val="22"/>
          <w:szCs w:val="22"/>
        </w:rPr>
      </w:pPr>
      <w:r w:rsidRPr="00D92A6E">
        <w:rPr>
          <w:rFonts w:ascii="Lato" w:eastAsia="Times New Roman" w:hAnsi="Lato"/>
          <w:color w:val="auto"/>
          <w:sz w:val="22"/>
          <w:szCs w:val="22"/>
        </w:rPr>
        <w:t>The Company reserves the right to cancel the tender at any time and at any stage of the tender procedure without giving any reason, or to close it without selecting any offer.</w:t>
      </w:r>
    </w:p>
    <w:p w14:paraId="1E5B6602" w14:textId="7CF938D8" w:rsidR="0072682F" w:rsidRPr="00D92A6E" w:rsidRDefault="0072682F" w:rsidP="0072682F">
      <w:pPr>
        <w:pStyle w:val="Akapitzlist"/>
        <w:numPr>
          <w:ilvl w:val="0"/>
          <w:numId w:val="10"/>
        </w:numPr>
        <w:spacing w:line="276" w:lineRule="auto"/>
        <w:ind w:right="27"/>
        <w:jc w:val="both"/>
        <w:rPr>
          <w:rFonts w:ascii="Lato" w:eastAsia="Times New Roman" w:hAnsi="Lato"/>
          <w:color w:val="auto"/>
          <w:sz w:val="22"/>
          <w:szCs w:val="22"/>
        </w:rPr>
      </w:pPr>
      <w:r w:rsidRPr="00D92A6E">
        <w:rPr>
          <w:rFonts w:ascii="Lato" w:eastAsia="Times New Roman" w:hAnsi="Lato"/>
          <w:color w:val="auto"/>
          <w:sz w:val="22"/>
          <w:szCs w:val="22"/>
        </w:rPr>
        <w:t xml:space="preserve">Bid binding </w:t>
      </w:r>
      <w:r w:rsidRPr="00786142">
        <w:rPr>
          <w:rFonts w:ascii="Lato" w:eastAsia="Times New Roman" w:hAnsi="Lato"/>
          <w:color w:val="auto"/>
          <w:sz w:val="22"/>
          <w:szCs w:val="22"/>
        </w:rPr>
        <w:t xml:space="preserve">period: </w:t>
      </w:r>
      <w:r w:rsidR="00452224" w:rsidRPr="00452224">
        <w:rPr>
          <w:rFonts w:ascii="Lato" w:eastAsia="Times New Roman" w:hAnsi="Lato"/>
          <w:b/>
          <w:color w:val="auto"/>
          <w:sz w:val="22"/>
          <w:szCs w:val="22"/>
        </w:rPr>
        <w:t>19.12</w:t>
      </w:r>
      <w:r w:rsidR="00D92A6E" w:rsidRPr="00452224">
        <w:rPr>
          <w:rFonts w:ascii="Lato" w:eastAsia="Times New Roman" w:hAnsi="Lato"/>
          <w:b/>
          <w:bCs/>
          <w:color w:val="auto"/>
          <w:sz w:val="22"/>
          <w:szCs w:val="22"/>
        </w:rPr>
        <w:t>.2025</w:t>
      </w:r>
      <w:r w:rsidR="00D92A6E" w:rsidRPr="00786142">
        <w:rPr>
          <w:rFonts w:ascii="Lato" w:eastAsia="Times New Roman" w:hAnsi="Lato"/>
          <w:b/>
          <w:bCs/>
          <w:color w:val="auto"/>
          <w:sz w:val="22"/>
          <w:szCs w:val="22"/>
        </w:rPr>
        <w:t>.</w:t>
      </w:r>
    </w:p>
    <w:p w14:paraId="33650D4E" w14:textId="77777777" w:rsidR="0072682F" w:rsidRPr="00D92A6E" w:rsidRDefault="0072682F" w:rsidP="0072682F">
      <w:pPr>
        <w:ind w:right="-210"/>
        <w:jc w:val="both"/>
        <w:rPr>
          <w:rFonts w:ascii="Lato" w:eastAsia="Times New Roman" w:hAnsi="Lato"/>
          <w:color w:val="auto"/>
        </w:rPr>
      </w:pPr>
    </w:p>
    <w:p w14:paraId="46BC341D" w14:textId="77777777" w:rsidR="0072682F" w:rsidRPr="00D92A6E" w:rsidRDefault="0072682F" w:rsidP="0072682F">
      <w:pPr>
        <w:pStyle w:val="Akapitzlist"/>
        <w:numPr>
          <w:ilvl w:val="0"/>
          <w:numId w:val="12"/>
        </w:numPr>
        <w:spacing w:line="276" w:lineRule="auto"/>
        <w:ind w:right="27"/>
        <w:jc w:val="center"/>
        <w:rPr>
          <w:rFonts w:ascii="Lato" w:hAnsi="Lato"/>
          <w:b/>
          <w:color w:val="auto"/>
          <w:sz w:val="22"/>
          <w:szCs w:val="22"/>
        </w:rPr>
      </w:pPr>
      <w:r w:rsidRPr="00D92A6E">
        <w:rPr>
          <w:rFonts w:ascii="Lato" w:hAnsi="Lato"/>
          <w:b/>
          <w:color w:val="auto"/>
          <w:sz w:val="22"/>
          <w:szCs w:val="22"/>
        </w:rPr>
        <w:t>Purchase Conditions</w:t>
      </w:r>
    </w:p>
    <w:p w14:paraId="3D282104" w14:textId="77777777" w:rsidR="0072682F" w:rsidRPr="00D92A6E" w:rsidRDefault="0072682F" w:rsidP="0072682F">
      <w:pPr>
        <w:spacing w:after="0"/>
        <w:ind w:right="27"/>
        <w:rPr>
          <w:rFonts w:ascii="Lato" w:hAnsi="Lato"/>
          <w:color w:val="auto"/>
        </w:rPr>
      </w:pPr>
    </w:p>
    <w:p w14:paraId="4787602F" w14:textId="033CF65D" w:rsidR="0072682F" w:rsidRPr="00D92A6E" w:rsidRDefault="0072682F" w:rsidP="0072682F">
      <w:pPr>
        <w:numPr>
          <w:ilvl w:val="0"/>
          <w:numId w:val="13"/>
        </w:numPr>
        <w:spacing w:after="0"/>
        <w:ind w:right="27"/>
        <w:contextualSpacing/>
        <w:jc w:val="both"/>
        <w:rPr>
          <w:rFonts w:ascii="Lato" w:eastAsia="MS ??" w:hAnsi="Lato"/>
          <w:color w:val="auto"/>
        </w:rPr>
      </w:pPr>
      <w:r w:rsidRPr="00D92A6E">
        <w:rPr>
          <w:rFonts w:ascii="Lato" w:eastAsia="MS ??" w:hAnsi="Lato"/>
          <w:color w:val="auto"/>
        </w:rPr>
        <w:t>The conclusion of the transaction is subject to the prior signing of the relevant sales agreement, the template of which constitutes A</w:t>
      </w:r>
      <w:r w:rsidR="00F75D03">
        <w:rPr>
          <w:rFonts w:ascii="Lato" w:eastAsia="MS ??" w:hAnsi="Lato"/>
          <w:color w:val="auto"/>
        </w:rPr>
        <w:t xml:space="preserve">ttachment </w:t>
      </w:r>
      <w:r w:rsidRPr="00D92A6E">
        <w:rPr>
          <w:rFonts w:ascii="Lato" w:eastAsia="MS ??" w:hAnsi="Lato"/>
          <w:color w:val="auto"/>
        </w:rPr>
        <w:t>No. 3.</w:t>
      </w:r>
    </w:p>
    <w:p w14:paraId="2F81BAB9" w14:textId="77777777" w:rsidR="0072682F" w:rsidRPr="00D92A6E" w:rsidRDefault="0072682F" w:rsidP="0072682F">
      <w:pPr>
        <w:numPr>
          <w:ilvl w:val="0"/>
          <w:numId w:val="13"/>
        </w:numPr>
        <w:spacing w:after="0"/>
        <w:ind w:right="27"/>
        <w:contextualSpacing/>
        <w:jc w:val="both"/>
        <w:rPr>
          <w:rFonts w:ascii="Lato" w:eastAsia="MS ??" w:hAnsi="Lato"/>
          <w:color w:val="auto"/>
        </w:rPr>
      </w:pPr>
      <w:r w:rsidRPr="00D92A6E">
        <w:rPr>
          <w:rFonts w:ascii="Lato" w:eastAsia="MS ??" w:hAnsi="Lato"/>
          <w:color w:val="auto"/>
        </w:rPr>
        <w:t>The sale may only be made to the entity that submitted the offer.</w:t>
      </w:r>
    </w:p>
    <w:p w14:paraId="5BDA30AE" w14:textId="77777777" w:rsidR="00D92A6E" w:rsidRPr="00786142" w:rsidRDefault="0072682F" w:rsidP="00D92A6E">
      <w:pPr>
        <w:numPr>
          <w:ilvl w:val="0"/>
          <w:numId w:val="13"/>
        </w:numPr>
        <w:spacing w:after="0"/>
        <w:ind w:right="27"/>
        <w:contextualSpacing/>
        <w:jc w:val="both"/>
        <w:rPr>
          <w:rFonts w:ascii="Lato" w:eastAsia="MS ??" w:hAnsi="Lato"/>
          <w:b/>
          <w:color w:val="auto"/>
        </w:rPr>
      </w:pPr>
      <w:r w:rsidRPr="00786142">
        <w:rPr>
          <w:rFonts w:ascii="Lato" w:eastAsia="MS ??" w:hAnsi="Lato"/>
          <w:b/>
          <w:color w:val="auto"/>
        </w:rPr>
        <w:t xml:space="preserve">The buyer is obliged to pay the purchase price minus the bid bond immediately, or no later than within 14 business days from the date of issuance (receipt) of the invoice. </w:t>
      </w:r>
    </w:p>
    <w:p w14:paraId="023A7699" w14:textId="77777777" w:rsidR="00D92A6E" w:rsidRDefault="0072682F" w:rsidP="00D92A6E">
      <w:pPr>
        <w:numPr>
          <w:ilvl w:val="0"/>
          <w:numId w:val="13"/>
        </w:numPr>
        <w:spacing w:after="0"/>
        <w:ind w:right="27"/>
        <w:contextualSpacing/>
        <w:jc w:val="both"/>
        <w:rPr>
          <w:rFonts w:ascii="Lato" w:eastAsia="MS ??" w:hAnsi="Lato"/>
          <w:bCs/>
          <w:color w:val="auto"/>
        </w:rPr>
      </w:pPr>
      <w:r w:rsidRPr="00D92A6E">
        <w:rPr>
          <w:rFonts w:ascii="Lato" w:eastAsia="MS ??" w:hAnsi="Lato"/>
          <w:bCs/>
          <w:color w:val="auto"/>
        </w:rPr>
        <w:t xml:space="preserve">The bidder is required to make the payment to the account of </w:t>
      </w:r>
      <w:proofErr w:type="spellStart"/>
      <w:r w:rsidRPr="00D92A6E">
        <w:rPr>
          <w:rFonts w:ascii="Lato" w:eastAsia="MS ??" w:hAnsi="Lato"/>
          <w:bCs/>
          <w:color w:val="auto"/>
        </w:rPr>
        <w:t>Geofizyka</w:t>
      </w:r>
      <w:proofErr w:type="spellEnd"/>
      <w:r w:rsidRPr="00D92A6E">
        <w:rPr>
          <w:rFonts w:ascii="Lato" w:eastAsia="MS ??" w:hAnsi="Lato"/>
          <w:bCs/>
          <w:color w:val="auto"/>
        </w:rPr>
        <w:t xml:space="preserve"> </w:t>
      </w:r>
      <w:proofErr w:type="spellStart"/>
      <w:r w:rsidRPr="00D92A6E">
        <w:rPr>
          <w:rFonts w:ascii="Lato" w:eastAsia="MS ??" w:hAnsi="Lato"/>
          <w:bCs/>
          <w:color w:val="auto"/>
        </w:rPr>
        <w:t>Toruń</w:t>
      </w:r>
      <w:proofErr w:type="spellEnd"/>
      <w:r w:rsidRPr="00D92A6E">
        <w:rPr>
          <w:rFonts w:ascii="Lato" w:eastAsia="MS ??" w:hAnsi="Lato"/>
          <w:bCs/>
          <w:color w:val="auto"/>
        </w:rPr>
        <w:t xml:space="preserve"> S.A.:</w:t>
      </w:r>
    </w:p>
    <w:p w14:paraId="5846A978" w14:textId="6DC0383D" w:rsidR="0072682F" w:rsidRPr="00786142" w:rsidRDefault="0072682F" w:rsidP="00D92A6E">
      <w:pPr>
        <w:spacing w:after="0"/>
        <w:ind w:left="720" w:right="27"/>
        <w:contextualSpacing/>
        <w:jc w:val="center"/>
        <w:rPr>
          <w:rFonts w:ascii="Lato" w:eastAsia="MS ??" w:hAnsi="Lato"/>
          <w:bCs/>
          <w:color w:val="auto"/>
        </w:rPr>
      </w:pPr>
      <w:r w:rsidRPr="00786142">
        <w:rPr>
          <w:rFonts w:ascii="Lato" w:eastAsia="MS ??" w:hAnsi="Lato"/>
          <w:b/>
          <w:color w:val="auto"/>
        </w:rPr>
        <w:lastRenderedPageBreak/>
        <w:t>Currency: USD IBAN: PL10 1840 0007 2911 6140 0813 0922</w:t>
      </w:r>
    </w:p>
    <w:p w14:paraId="29E04899" w14:textId="77777777" w:rsidR="0072682F" w:rsidRPr="00D92A6E" w:rsidRDefault="0072682F" w:rsidP="00D92A6E">
      <w:pPr>
        <w:spacing w:after="0"/>
        <w:ind w:left="720" w:right="27"/>
        <w:contextualSpacing/>
        <w:jc w:val="center"/>
        <w:rPr>
          <w:rFonts w:ascii="Lato" w:eastAsia="MS ??" w:hAnsi="Lato"/>
          <w:b/>
          <w:color w:val="auto"/>
        </w:rPr>
      </w:pPr>
      <w:r w:rsidRPr="00786142">
        <w:rPr>
          <w:rFonts w:ascii="Lato" w:eastAsia="MS ??" w:hAnsi="Lato"/>
          <w:b/>
          <w:color w:val="auto"/>
        </w:rPr>
        <w:t>SWIFT: SOGEPLPW</w:t>
      </w:r>
    </w:p>
    <w:p w14:paraId="6FD38E5C" w14:textId="77777777" w:rsidR="0072682F" w:rsidRPr="00D92A6E" w:rsidRDefault="0072682F" w:rsidP="00616ACB">
      <w:pPr>
        <w:spacing w:after="0"/>
        <w:ind w:right="27"/>
        <w:contextualSpacing/>
        <w:jc w:val="both"/>
        <w:rPr>
          <w:rFonts w:ascii="Lato" w:hAnsi="Lato"/>
          <w:bCs/>
          <w:color w:val="auto"/>
        </w:rPr>
      </w:pPr>
    </w:p>
    <w:p w14:paraId="22094E18" w14:textId="13120F5F" w:rsidR="0072682F" w:rsidRPr="00D92A6E" w:rsidRDefault="0072682F" w:rsidP="0072682F">
      <w:pPr>
        <w:spacing w:after="0"/>
        <w:ind w:left="720" w:right="27"/>
        <w:contextualSpacing/>
        <w:jc w:val="both"/>
        <w:rPr>
          <w:rFonts w:ascii="Lato" w:eastAsia="MS ??" w:hAnsi="Lato"/>
          <w:b/>
          <w:color w:val="auto"/>
        </w:rPr>
      </w:pPr>
      <w:r w:rsidRPr="00D92A6E">
        <w:rPr>
          <w:rFonts w:ascii="Lato" w:hAnsi="Lato"/>
          <w:b/>
          <w:color w:val="auto"/>
        </w:rPr>
        <w:t>The invoice number must be indicated in the transfer title</w:t>
      </w:r>
      <w:r w:rsidR="00786142">
        <w:rPr>
          <w:rFonts w:ascii="Lato" w:hAnsi="Lato"/>
          <w:b/>
          <w:color w:val="auto"/>
        </w:rPr>
        <w:t>.</w:t>
      </w:r>
    </w:p>
    <w:p w14:paraId="5A05AD22" w14:textId="77777777" w:rsidR="0072682F" w:rsidRPr="00D92A6E" w:rsidRDefault="0072682F" w:rsidP="0072682F">
      <w:pPr>
        <w:numPr>
          <w:ilvl w:val="0"/>
          <w:numId w:val="13"/>
        </w:numPr>
        <w:spacing w:after="0"/>
        <w:ind w:right="27"/>
        <w:jc w:val="both"/>
        <w:rPr>
          <w:rFonts w:ascii="Lato" w:hAnsi="Lato"/>
          <w:color w:val="auto"/>
        </w:rPr>
      </w:pPr>
      <w:r w:rsidRPr="00D92A6E">
        <w:rPr>
          <w:rFonts w:ascii="Lato" w:hAnsi="Lato"/>
          <w:bCs/>
          <w:color w:val="auto"/>
        </w:rPr>
        <w:t>The Company is obliged to confirm the readiness of the equipment set for collection within 14 business days after receipt of payment for the invoice.</w:t>
      </w:r>
    </w:p>
    <w:p w14:paraId="26CFD6F5" w14:textId="77777777" w:rsidR="0072682F" w:rsidRPr="00D92A6E" w:rsidRDefault="0072682F" w:rsidP="0072682F">
      <w:pPr>
        <w:numPr>
          <w:ilvl w:val="0"/>
          <w:numId w:val="13"/>
        </w:numPr>
        <w:spacing w:after="0"/>
        <w:ind w:right="27"/>
        <w:jc w:val="both"/>
        <w:rPr>
          <w:rFonts w:ascii="Lato" w:hAnsi="Lato"/>
          <w:color w:val="auto"/>
        </w:rPr>
      </w:pPr>
      <w:r w:rsidRPr="00D92A6E">
        <w:rPr>
          <w:rFonts w:ascii="Lato" w:hAnsi="Lato"/>
          <w:color w:val="auto"/>
        </w:rPr>
        <w:t>The transfer of the equipment set will take place after the invoice has been paid and upon signing of the handover protocol, which shall form part of the written sales agreement.</w:t>
      </w:r>
    </w:p>
    <w:p w14:paraId="0E76342C" w14:textId="77777777" w:rsidR="0072682F" w:rsidRPr="00D92A6E" w:rsidRDefault="0072682F" w:rsidP="0072682F">
      <w:pPr>
        <w:numPr>
          <w:ilvl w:val="0"/>
          <w:numId w:val="13"/>
        </w:numPr>
        <w:spacing w:after="0"/>
        <w:ind w:right="27"/>
        <w:jc w:val="both"/>
        <w:rPr>
          <w:rFonts w:ascii="Lato" w:hAnsi="Lato"/>
          <w:color w:val="auto"/>
        </w:rPr>
      </w:pPr>
      <w:r w:rsidRPr="00D92A6E">
        <w:rPr>
          <w:rFonts w:ascii="Lato" w:hAnsi="Lato"/>
          <w:color w:val="auto"/>
        </w:rPr>
        <w:t>The buyer is obliged to collect the equipment set within 14 days from the date of confirmation of readiness for collection in accordance with item 6.</w:t>
      </w:r>
    </w:p>
    <w:p w14:paraId="67BC342E" w14:textId="77777777" w:rsidR="0072682F" w:rsidRPr="00D92A6E" w:rsidRDefault="0072682F" w:rsidP="0072682F">
      <w:pPr>
        <w:numPr>
          <w:ilvl w:val="0"/>
          <w:numId w:val="13"/>
        </w:numPr>
        <w:spacing w:after="0"/>
        <w:ind w:right="27"/>
        <w:jc w:val="both"/>
        <w:rPr>
          <w:rFonts w:ascii="Lato" w:hAnsi="Lato"/>
          <w:color w:val="auto"/>
        </w:rPr>
      </w:pPr>
      <w:r w:rsidRPr="00D92A6E">
        <w:rPr>
          <w:rFonts w:ascii="Lato" w:hAnsi="Lato"/>
          <w:color w:val="auto"/>
        </w:rPr>
        <w:t>In the event of delay in collecting the equipment set or withdrawal from the sales agreement by the buyer, the Company, in addition to the forfeiture of the bid bond, may impose contractual penalties specified in the written sales agreement.</w:t>
      </w:r>
    </w:p>
    <w:p w14:paraId="63648847" w14:textId="77777777" w:rsidR="0072682F" w:rsidRPr="00D92A6E" w:rsidRDefault="0072682F" w:rsidP="0072682F">
      <w:pPr>
        <w:spacing w:after="0"/>
        <w:rPr>
          <w:rFonts w:ascii="Lato" w:hAnsi="Lato"/>
          <w:color w:val="auto"/>
        </w:rPr>
      </w:pPr>
    </w:p>
    <w:p w14:paraId="22CD045B" w14:textId="77777777" w:rsidR="0072682F" w:rsidRPr="00D92A6E" w:rsidRDefault="0072682F" w:rsidP="0072682F">
      <w:pPr>
        <w:numPr>
          <w:ilvl w:val="0"/>
          <w:numId w:val="12"/>
        </w:numPr>
        <w:spacing w:after="0"/>
        <w:ind w:hanging="513"/>
        <w:contextualSpacing/>
        <w:jc w:val="center"/>
        <w:rPr>
          <w:rFonts w:ascii="Lato" w:eastAsia="MS ??" w:hAnsi="Lato"/>
          <w:b/>
          <w:color w:val="auto"/>
        </w:rPr>
      </w:pPr>
      <w:r w:rsidRPr="00D92A6E">
        <w:rPr>
          <w:rFonts w:ascii="Lato" w:eastAsia="MS ??" w:hAnsi="Lato"/>
          <w:b/>
          <w:color w:val="auto"/>
        </w:rPr>
        <w:t>Final Provisions</w:t>
      </w:r>
    </w:p>
    <w:p w14:paraId="2E2CD480" w14:textId="77777777" w:rsidR="0072682F" w:rsidRPr="00D92A6E" w:rsidRDefault="0072682F" w:rsidP="0072682F">
      <w:pPr>
        <w:jc w:val="both"/>
        <w:rPr>
          <w:rFonts w:ascii="Lato" w:hAnsi="Lato"/>
          <w:color w:val="auto"/>
        </w:rPr>
      </w:pPr>
    </w:p>
    <w:p w14:paraId="08E10A3F" w14:textId="550BE1DF" w:rsidR="0072682F" w:rsidRPr="00786142" w:rsidRDefault="0072682F" w:rsidP="0072682F">
      <w:pPr>
        <w:pStyle w:val="Akapitzlist"/>
        <w:numPr>
          <w:ilvl w:val="0"/>
          <w:numId w:val="14"/>
        </w:numPr>
        <w:spacing w:line="276" w:lineRule="auto"/>
        <w:ind w:left="709"/>
        <w:jc w:val="both"/>
        <w:rPr>
          <w:rFonts w:ascii="Lato" w:hAnsi="Lato"/>
          <w:b/>
          <w:color w:val="auto"/>
          <w:sz w:val="22"/>
          <w:szCs w:val="22"/>
        </w:rPr>
      </w:pPr>
      <w:r w:rsidRPr="00786142">
        <w:rPr>
          <w:rFonts w:ascii="Lato" w:hAnsi="Lato"/>
          <w:b/>
          <w:color w:val="auto"/>
          <w:sz w:val="22"/>
          <w:szCs w:val="22"/>
        </w:rPr>
        <w:t xml:space="preserve">The tender shall be concluded by </w:t>
      </w:r>
      <w:r w:rsidR="00151D59">
        <w:rPr>
          <w:rFonts w:ascii="Lato" w:hAnsi="Lato"/>
          <w:b/>
          <w:color w:val="auto"/>
          <w:sz w:val="22"/>
          <w:szCs w:val="22"/>
        </w:rPr>
        <w:t>2</w:t>
      </w:r>
      <w:r w:rsidR="00452224">
        <w:rPr>
          <w:rFonts w:ascii="Lato" w:hAnsi="Lato"/>
          <w:b/>
          <w:color w:val="auto"/>
          <w:sz w:val="22"/>
          <w:szCs w:val="22"/>
        </w:rPr>
        <w:t>8.11</w:t>
      </w:r>
      <w:r w:rsidR="00D92A6E" w:rsidRPr="00786142">
        <w:rPr>
          <w:rFonts w:ascii="Lato" w:hAnsi="Lato"/>
          <w:b/>
          <w:color w:val="auto"/>
          <w:sz w:val="22"/>
          <w:szCs w:val="22"/>
        </w:rPr>
        <w:t>.2025.</w:t>
      </w:r>
    </w:p>
    <w:p w14:paraId="3C52BAE6" w14:textId="1D35123F" w:rsidR="0072682F" w:rsidRPr="00D92A6E" w:rsidRDefault="0072682F" w:rsidP="0072682F">
      <w:pPr>
        <w:numPr>
          <w:ilvl w:val="0"/>
          <w:numId w:val="14"/>
        </w:numPr>
        <w:spacing w:after="0"/>
        <w:ind w:left="709"/>
        <w:jc w:val="both"/>
        <w:rPr>
          <w:rFonts w:ascii="Lato" w:hAnsi="Lato"/>
          <w:color w:val="auto"/>
        </w:rPr>
      </w:pPr>
      <w:bookmarkStart w:id="3" w:name="_Hlk196379547"/>
      <w:r w:rsidRPr="00D92A6E">
        <w:rPr>
          <w:rFonts w:ascii="Lato" w:hAnsi="Lato"/>
          <w:color w:val="auto"/>
        </w:rPr>
        <w:t xml:space="preserve">The Company reserves that not all components of the set may be fully operational and may require inspection, repair, and maintenance. Detailed information regarding the equipment set offered for sale in the tender procedure is provided by </w:t>
      </w:r>
      <w:r w:rsidR="00D837A1">
        <w:rPr>
          <w:rFonts w:ascii="Lato" w:hAnsi="Lato"/>
          <w:color w:val="auto"/>
        </w:rPr>
        <w:t xml:space="preserve">Adam </w:t>
      </w:r>
      <w:proofErr w:type="spellStart"/>
      <w:r w:rsidR="00D837A1">
        <w:rPr>
          <w:rFonts w:ascii="Lato" w:hAnsi="Lato"/>
          <w:color w:val="auto"/>
        </w:rPr>
        <w:t>Szołomicki</w:t>
      </w:r>
      <w:proofErr w:type="spellEnd"/>
      <w:r w:rsidRPr="00D92A6E">
        <w:rPr>
          <w:rFonts w:ascii="Lato" w:hAnsi="Lato"/>
          <w:color w:val="auto"/>
        </w:rPr>
        <w:t xml:space="preserve">, email: </w:t>
      </w:r>
      <w:r w:rsidR="00D837A1">
        <w:rPr>
          <w:rFonts w:ascii="Lato" w:hAnsi="Lato"/>
          <w:color w:val="auto"/>
        </w:rPr>
        <w:t>Adam</w:t>
      </w:r>
      <w:r w:rsidRPr="00D92A6E">
        <w:rPr>
          <w:rFonts w:ascii="Lato" w:hAnsi="Lato"/>
          <w:color w:val="auto"/>
        </w:rPr>
        <w:t>.</w:t>
      </w:r>
      <w:r w:rsidR="00D837A1">
        <w:rPr>
          <w:rFonts w:ascii="Lato" w:hAnsi="Lato"/>
          <w:color w:val="auto"/>
        </w:rPr>
        <w:t>Szołomicki</w:t>
      </w:r>
      <w:r w:rsidRPr="00D92A6E">
        <w:rPr>
          <w:rFonts w:ascii="Lato" w:hAnsi="Lato"/>
          <w:color w:val="auto"/>
        </w:rPr>
        <w:t>@geofizyka.pl, phone: +48 566593</w:t>
      </w:r>
      <w:r w:rsidR="00D837A1">
        <w:rPr>
          <w:rFonts w:ascii="Lato" w:hAnsi="Lato"/>
          <w:color w:val="auto"/>
        </w:rPr>
        <w:t>226</w:t>
      </w:r>
      <w:r w:rsidRPr="00D92A6E">
        <w:rPr>
          <w:rFonts w:ascii="Lato" w:hAnsi="Lato"/>
          <w:color w:val="auto"/>
        </w:rPr>
        <w:t>.</w:t>
      </w:r>
    </w:p>
    <w:bookmarkEnd w:id="3"/>
    <w:p w14:paraId="4CD8E33E" w14:textId="77777777" w:rsidR="0072682F" w:rsidRPr="00D92A6E" w:rsidRDefault="0072682F" w:rsidP="0072682F">
      <w:pPr>
        <w:numPr>
          <w:ilvl w:val="0"/>
          <w:numId w:val="14"/>
        </w:numPr>
        <w:spacing w:after="0"/>
        <w:ind w:left="709" w:right="27"/>
        <w:jc w:val="both"/>
        <w:rPr>
          <w:rFonts w:ascii="Lato" w:hAnsi="Lato"/>
          <w:color w:val="auto"/>
        </w:rPr>
      </w:pPr>
      <w:proofErr w:type="spellStart"/>
      <w:r w:rsidRPr="00D92A6E">
        <w:rPr>
          <w:rFonts w:ascii="Lato" w:hAnsi="Lato"/>
          <w:color w:val="auto"/>
        </w:rPr>
        <w:t>Geofizyka</w:t>
      </w:r>
      <w:proofErr w:type="spellEnd"/>
      <w:r w:rsidRPr="00D92A6E">
        <w:rPr>
          <w:rFonts w:ascii="Lato" w:hAnsi="Lato"/>
          <w:color w:val="auto"/>
        </w:rPr>
        <w:t xml:space="preserve"> </w:t>
      </w:r>
      <w:proofErr w:type="spellStart"/>
      <w:r w:rsidRPr="00D92A6E">
        <w:rPr>
          <w:rFonts w:ascii="Lato" w:hAnsi="Lato"/>
          <w:color w:val="auto"/>
        </w:rPr>
        <w:t>Toruń</w:t>
      </w:r>
      <w:proofErr w:type="spellEnd"/>
      <w:r w:rsidRPr="00D92A6E">
        <w:rPr>
          <w:rFonts w:ascii="Lato" w:hAnsi="Lato"/>
          <w:color w:val="auto"/>
        </w:rPr>
        <w:t xml:space="preserve"> S.A. assumes no liability under warranty or statutory guarantee, nor for hidden defects of the equipment set offered for sale in the tender procedure.</w:t>
      </w:r>
    </w:p>
    <w:p w14:paraId="3792AB9F" w14:textId="77777777" w:rsidR="0072682F" w:rsidRPr="00D92A6E" w:rsidRDefault="0072682F" w:rsidP="0072682F">
      <w:pPr>
        <w:rPr>
          <w:rFonts w:ascii="Lato" w:hAnsi="Lato"/>
          <w:b/>
          <w:color w:val="auto"/>
        </w:rPr>
      </w:pPr>
    </w:p>
    <w:p w14:paraId="5AB51338" w14:textId="77777777" w:rsidR="0072682F" w:rsidRPr="00D92A6E" w:rsidRDefault="0072682F" w:rsidP="0072682F">
      <w:pPr>
        <w:spacing w:after="0"/>
        <w:rPr>
          <w:rFonts w:ascii="Lato" w:hAnsi="Lato"/>
          <w:color w:val="auto"/>
        </w:rPr>
      </w:pPr>
    </w:p>
    <w:p w14:paraId="6FAF25EE" w14:textId="77777777" w:rsidR="0072682F" w:rsidRPr="00D92A6E" w:rsidRDefault="0072682F" w:rsidP="0072682F">
      <w:pPr>
        <w:spacing w:after="0"/>
        <w:rPr>
          <w:rFonts w:ascii="Lato" w:hAnsi="Lato"/>
          <w:color w:val="auto"/>
        </w:rPr>
      </w:pPr>
    </w:p>
    <w:p w14:paraId="2D4F0C74" w14:textId="47984AEC" w:rsidR="0072682F" w:rsidRDefault="0072682F" w:rsidP="00E87E81">
      <w:pPr>
        <w:spacing w:line="360" w:lineRule="auto"/>
        <w:rPr>
          <w:rFonts w:ascii="Lato" w:hAnsi="Lato"/>
          <w:b/>
          <w:bCs/>
          <w:color w:val="auto"/>
        </w:rPr>
      </w:pPr>
      <w:r w:rsidRPr="00D92A6E">
        <w:rPr>
          <w:rFonts w:ascii="Lato" w:hAnsi="Lato"/>
          <w:b/>
          <w:bCs/>
          <w:color w:val="auto"/>
        </w:rPr>
        <w:t xml:space="preserve">Attachment 1 – Bid </w:t>
      </w:r>
      <w:r w:rsidRPr="00F623A6">
        <w:rPr>
          <w:rFonts w:ascii="Lato" w:hAnsi="Lato"/>
          <w:b/>
          <w:bCs/>
          <w:color w:val="auto"/>
        </w:rPr>
        <w:t>Form No 0</w:t>
      </w:r>
      <w:r w:rsidR="00452224">
        <w:rPr>
          <w:rFonts w:ascii="Lato" w:hAnsi="Lato"/>
          <w:b/>
          <w:bCs/>
          <w:color w:val="auto"/>
        </w:rPr>
        <w:t>9</w:t>
      </w:r>
      <w:bookmarkStart w:id="4" w:name="_GoBack"/>
      <w:bookmarkEnd w:id="4"/>
      <w:r w:rsidRPr="00F623A6">
        <w:rPr>
          <w:rFonts w:ascii="Lato" w:hAnsi="Lato"/>
          <w:b/>
          <w:bCs/>
          <w:color w:val="auto"/>
        </w:rPr>
        <w:t>_</w:t>
      </w:r>
      <w:r w:rsidR="00E87E81">
        <w:rPr>
          <w:rFonts w:ascii="Lato" w:hAnsi="Lato"/>
          <w:b/>
          <w:bCs/>
          <w:color w:val="auto"/>
        </w:rPr>
        <w:t>GMT</w:t>
      </w:r>
      <w:r w:rsidRPr="00F623A6">
        <w:rPr>
          <w:rFonts w:ascii="Lato" w:hAnsi="Lato"/>
          <w:b/>
          <w:bCs/>
          <w:color w:val="auto"/>
        </w:rPr>
        <w:t>_2025</w:t>
      </w:r>
      <w:r w:rsidR="00E87E81">
        <w:rPr>
          <w:rFonts w:ascii="Lato" w:hAnsi="Lato"/>
          <w:b/>
          <w:bCs/>
          <w:color w:val="auto"/>
        </w:rPr>
        <w:t>.</w:t>
      </w:r>
      <w:r w:rsidRPr="00D92A6E">
        <w:rPr>
          <w:rFonts w:ascii="Lato" w:hAnsi="Lato"/>
          <w:b/>
          <w:color w:val="auto"/>
        </w:rPr>
        <w:br/>
      </w:r>
      <w:r w:rsidRPr="00D92A6E">
        <w:rPr>
          <w:rFonts w:ascii="Lato" w:hAnsi="Lato"/>
          <w:b/>
          <w:bCs/>
          <w:color w:val="auto"/>
        </w:rPr>
        <w:t>Attachment 2 – Information Clause</w:t>
      </w:r>
      <w:r w:rsidR="00E87E81">
        <w:rPr>
          <w:rFonts w:ascii="Lato" w:hAnsi="Lato"/>
          <w:b/>
          <w:bCs/>
          <w:color w:val="auto"/>
        </w:rPr>
        <w:t>.</w:t>
      </w:r>
      <w:r w:rsidRPr="00D92A6E">
        <w:rPr>
          <w:rFonts w:ascii="Lato" w:hAnsi="Lato"/>
          <w:b/>
          <w:color w:val="auto"/>
        </w:rPr>
        <w:br/>
      </w:r>
      <w:r w:rsidRPr="00D92A6E">
        <w:rPr>
          <w:rFonts w:ascii="Lato" w:hAnsi="Lato"/>
          <w:b/>
          <w:bCs/>
          <w:color w:val="auto"/>
        </w:rPr>
        <w:t>Attachment 3 – Sales Agreement Template</w:t>
      </w:r>
      <w:r w:rsidR="00E87E81">
        <w:rPr>
          <w:rFonts w:ascii="Lato" w:hAnsi="Lato"/>
          <w:b/>
          <w:bCs/>
          <w:color w:val="auto"/>
        </w:rPr>
        <w:t>.</w:t>
      </w:r>
    </w:p>
    <w:p w14:paraId="1D01E2AD" w14:textId="0C28E911" w:rsidR="00E87E81" w:rsidRPr="00E87E81" w:rsidRDefault="00E87E81" w:rsidP="00E87E81">
      <w:pPr>
        <w:spacing w:line="360" w:lineRule="auto"/>
        <w:rPr>
          <w:rFonts w:ascii="Lato" w:hAnsi="Lato"/>
          <w:b/>
          <w:bCs/>
          <w:color w:val="auto"/>
        </w:rPr>
      </w:pPr>
      <w:r w:rsidRPr="00E87E81">
        <w:rPr>
          <w:rFonts w:ascii="Lato" w:hAnsi="Lato"/>
          <w:b/>
          <w:bCs/>
          <w:color w:val="auto"/>
        </w:rPr>
        <w:t xml:space="preserve">Attachment </w:t>
      </w:r>
      <w:r>
        <w:rPr>
          <w:rFonts w:ascii="Lato" w:hAnsi="Lato"/>
          <w:b/>
          <w:bCs/>
          <w:color w:val="auto"/>
        </w:rPr>
        <w:t>4 – Spare parts list.</w:t>
      </w:r>
    </w:p>
    <w:p w14:paraId="7934BB9E" w14:textId="535FE121" w:rsidR="00E87E81" w:rsidRPr="00E87E81" w:rsidRDefault="00E87E81" w:rsidP="00E87E81">
      <w:pPr>
        <w:spacing w:line="360" w:lineRule="auto"/>
        <w:rPr>
          <w:rFonts w:ascii="Lato" w:hAnsi="Lato"/>
          <w:b/>
          <w:bCs/>
          <w:color w:val="auto"/>
        </w:rPr>
      </w:pPr>
      <w:r w:rsidRPr="00E87E81">
        <w:rPr>
          <w:rFonts w:ascii="Lato" w:hAnsi="Lato"/>
          <w:b/>
          <w:bCs/>
          <w:color w:val="auto"/>
        </w:rPr>
        <w:t xml:space="preserve">Attachment </w:t>
      </w:r>
      <w:r>
        <w:rPr>
          <w:rFonts w:ascii="Lato" w:hAnsi="Lato"/>
          <w:b/>
          <w:bCs/>
          <w:color w:val="auto"/>
        </w:rPr>
        <w:t>5 – Test results.</w:t>
      </w:r>
    </w:p>
    <w:p w14:paraId="37112058" w14:textId="3190D7BE" w:rsidR="004D6799" w:rsidRPr="00E87E81" w:rsidRDefault="00E87E81" w:rsidP="00E87E81">
      <w:pPr>
        <w:tabs>
          <w:tab w:val="left" w:pos="851"/>
        </w:tabs>
        <w:spacing w:after="0" w:line="360" w:lineRule="auto"/>
        <w:jc w:val="both"/>
        <w:rPr>
          <w:rFonts w:ascii="Lato" w:hAnsi="Lato"/>
          <w:b/>
          <w:bCs/>
          <w:color w:val="000000" w:themeColor="text1"/>
        </w:rPr>
      </w:pPr>
      <w:r w:rsidRPr="00E87E81">
        <w:rPr>
          <w:rFonts w:ascii="Lato" w:hAnsi="Lato"/>
          <w:b/>
          <w:bCs/>
          <w:color w:val="000000" w:themeColor="text1"/>
        </w:rPr>
        <w:t xml:space="preserve">Attachment </w:t>
      </w:r>
      <w:r>
        <w:rPr>
          <w:rFonts w:ascii="Lato" w:hAnsi="Lato"/>
          <w:b/>
          <w:bCs/>
          <w:color w:val="000000" w:themeColor="text1"/>
        </w:rPr>
        <w:t>6 – Information brochure.</w:t>
      </w:r>
    </w:p>
    <w:p w14:paraId="25AE6910" w14:textId="3180B447" w:rsidR="00E87E81" w:rsidRPr="00E87E81" w:rsidRDefault="00E87E81" w:rsidP="00E87E81">
      <w:pPr>
        <w:tabs>
          <w:tab w:val="left" w:pos="851"/>
        </w:tabs>
        <w:spacing w:after="0" w:line="360" w:lineRule="auto"/>
        <w:jc w:val="both"/>
        <w:rPr>
          <w:rFonts w:ascii="Lato" w:hAnsi="Lato"/>
          <w:b/>
          <w:bCs/>
          <w:color w:val="000000" w:themeColor="text1"/>
        </w:rPr>
      </w:pPr>
      <w:r w:rsidRPr="00E87E81">
        <w:rPr>
          <w:rFonts w:ascii="Lato" w:hAnsi="Lato"/>
          <w:b/>
          <w:bCs/>
          <w:color w:val="000000" w:themeColor="text1"/>
        </w:rPr>
        <w:t xml:space="preserve">Attachment </w:t>
      </w:r>
      <w:r>
        <w:rPr>
          <w:rFonts w:ascii="Lato" w:hAnsi="Lato"/>
          <w:b/>
          <w:bCs/>
          <w:color w:val="000000" w:themeColor="text1"/>
        </w:rPr>
        <w:t>7 – Rebuild Certificate.</w:t>
      </w:r>
    </w:p>
    <w:sectPr w:rsidR="00E87E81" w:rsidRPr="00E87E81" w:rsidSect="001B62C2">
      <w:headerReference w:type="default" r:id="rId10"/>
      <w:footerReference w:type="default" r:id="rId11"/>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9A31D" w14:textId="77777777" w:rsidR="00E97EB9" w:rsidRPr="005C1346" w:rsidRDefault="00E97EB9" w:rsidP="00251EA2">
      <w:pPr>
        <w:spacing w:after="0" w:line="240" w:lineRule="auto"/>
      </w:pPr>
      <w:r w:rsidRPr="005C1346">
        <w:separator/>
      </w:r>
    </w:p>
  </w:endnote>
  <w:endnote w:type="continuationSeparator" w:id="0">
    <w:p w14:paraId="432240E8" w14:textId="77777777" w:rsidR="00E97EB9" w:rsidRPr="005C1346" w:rsidRDefault="00E97EB9"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1" w:usb1="00000000" w:usb2="00000000" w:usb3="00000000" w:csb0="00000000"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A00000AF" w:usb1="5000604B" w:usb2="00000000" w:usb3="00000000" w:csb0="00000093" w:csb1="00000000"/>
  </w:font>
  <w:font w:name="Lato Black">
    <w:panose1 w:val="020F0A02020204030203"/>
    <w:charset w:val="EE"/>
    <w:family w:val="swiss"/>
    <w:pitch w:val="variable"/>
    <w:sig w:usb0="A00000AF" w:usb1="5000604B" w:usb2="00000000" w:usb3="00000000" w:csb0="00000093" w:csb1="00000000"/>
  </w:font>
  <w:font w:name="Lato Light">
    <w:altName w:val="Segoe UI Light"/>
    <w:panose1 w:val="020F0302020204030203"/>
    <w:charset w:val="EE"/>
    <w:family w:val="swiss"/>
    <w:pitch w:val="variable"/>
    <w:sig w:usb0="A00000AF" w:usb1="5000604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4EB2" w14:textId="53C3FD29" w:rsidR="003831FE" w:rsidRPr="005C1346" w:rsidRDefault="0030211C">
    <w:pPr>
      <w:pStyle w:val="Stopka"/>
    </w:pPr>
    <w:r w:rsidRPr="005C1346">
      <w:rPr>
        <w:noProof/>
        <w:lang w:val="pl-PL"/>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lang w:val="pl-PL"/>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lang w:val="pl-PL"/>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ABBFC" w14:textId="77777777" w:rsidR="00E97EB9" w:rsidRPr="005C1346" w:rsidRDefault="00E97EB9" w:rsidP="00251EA2">
      <w:pPr>
        <w:spacing w:after="0" w:line="240" w:lineRule="auto"/>
      </w:pPr>
      <w:r w:rsidRPr="005C1346">
        <w:separator/>
      </w:r>
    </w:p>
  </w:footnote>
  <w:footnote w:type="continuationSeparator" w:id="0">
    <w:p w14:paraId="1F957842" w14:textId="77777777" w:rsidR="00E97EB9" w:rsidRPr="005C1346" w:rsidRDefault="00E97EB9" w:rsidP="00251EA2">
      <w:pPr>
        <w:spacing w:after="0" w:line="240" w:lineRule="auto"/>
      </w:pPr>
      <w:r w:rsidRPr="005C134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lang w:val="pl-PL"/>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468"/>
    <w:multiLevelType w:val="hybridMultilevel"/>
    <w:tmpl w:val="8B20E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262B6812"/>
    <w:multiLevelType w:val="hybridMultilevel"/>
    <w:tmpl w:val="119ABA68"/>
    <w:lvl w:ilvl="0" w:tplc="FBD24F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C902C7"/>
    <w:multiLevelType w:val="hybridMultilevel"/>
    <w:tmpl w:val="A85C80DA"/>
    <w:lvl w:ilvl="0" w:tplc="76FC1D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45B4008"/>
    <w:multiLevelType w:val="multilevel"/>
    <w:tmpl w:val="FCF286AC"/>
    <w:numStyleLink w:val="Styl1"/>
  </w:abstractNum>
  <w:abstractNum w:abstractNumId="9">
    <w:nsid w:val="68833E3F"/>
    <w:multiLevelType w:val="hybridMultilevel"/>
    <w:tmpl w:val="324883C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1">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74831FD7"/>
    <w:multiLevelType w:val="hybridMultilevel"/>
    <w:tmpl w:val="85742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2"/>
  </w:num>
  <w:num w:numId="5">
    <w:abstractNumId w:val="11"/>
  </w:num>
  <w:num w:numId="6">
    <w:abstractNumId w:val="12"/>
  </w:num>
  <w:num w:numId="7">
    <w:abstractNumId w:val="4"/>
  </w:num>
  <w:num w:numId="8">
    <w:abstractNumId w:val="8"/>
  </w:num>
  <w:num w:numId="9">
    <w:abstractNumId w:val="6"/>
  </w:num>
  <w:num w:numId="10">
    <w:abstractNumId w:val="9"/>
  </w:num>
  <w:num w:numId="11">
    <w:abstractNumId w:val="13"/>
  </w:num>
  <w:num w:numId="12">
    <w:abstractNumId w:val="7"/>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27"/>
    <w:rsid w:val="00020838"/>
    <w:rsid w:val="00053DA5"/>
    <w:rsid w:val="000629F8"/>
    <w:rsid w:val="00062FFA"/>
    <w:rsid w:val="000854A9"/>
    <w:rsid w:val="000A1FFF"/>
    <w:rsid w:val="000E72E6"/>
    <w:rsid w:val="000E74EB"/>
    <w:rsid w:val="00100AAC"/>
    <w:rsid w:val="00121A2D"/>
    <w:rsid w:val="0012565B"/>
    <w:rsid w:val="001259F8"/>
    <w:rsid w:val="00131392"/>
    <w:rsid w:val="00151D59"/>
    <w:rsid w:val="0016518D"/>
    <w:rsid w:val="001752B6"/>
    <w:rsid w:val="001857A3"/>
    <w:rsid w:val="0018755E"/>
    <w:rsid w:val="001A3ACC"/>
    <w:rsid w:val="001B5ADF"/>
    <w:rsid w:val="001B62C2"/>
    <w:rsid w:val="001C7A74"/>
    <w:rsid w:val="001F7B27"/>
    <w:rsid w:val="00205112"/>
    <w:rsid w:val="00207DF7"/>
    <w:rsid w:val="00236D64"/>
    <w:rsid w:val="00251EA2"/>
    <w:rsid w:val="00265967"/>
    <w:rsid w:val="0027047D"/>
    <w:rsid w:val="00282DFB"/>
    <w:rsid w:val="0028350F"/>
    <w:rsid w:val="00295EED"/>
    <w:rsid w:val="002A3C44"/>
    <w:rsid w:val="002B17B8"/>
    <w:rsid w:val="002C03DB"/>
    <w:rsid w:val="0030211C"/>
    <w:rsid w:val="0031161D"/>
    <w:rsid w:val="0031603E"/>
    <w:rsid w:val="00330BCB"/>
    <w:rsid w:val="00344C9A"/>
    <w:rsid w:val="003632F6"/>
    <w:rsid w:val="003673AF"/>
    <w:rsid w:val="003704FF"/>
    <w:rsid w:val="003831FE"/>
    <w:rsid w:val="00397627"/>
    <w:rsid w:val="003A4F40"/>
    <w:rsid w:val="003C12EB"/>
    <w:rsid w:val="003C3DF8"/>
    <w:rsid w:val="003C76D1"/>
    <w:rsid w:val="003E2CCC"/>
    <w:rsid w:val="003E4343"/>
    <w:rsid w:val="004308BF"/>
    <w:rsid w:val="00437CAA"/>
    <w:rsid w:val="004420D3"/>
    <w:rsid w:val="00452224"/>
    <w:rsid w:val="004544F1"/>
    <w:rsid w:val="004603E4"/>
    <w:rsid w:val="0048783F"/>
    <w:rsid w:val="00490F18"/>
    <w:rsid w:val="004911BB"/>
    <w:rsid w:val="004A0290"/>
    <w:rsid w:val="004B53DE"/>
    <w:rsid w:val="004C2ADE"/>
    <w:rsid w:val="004D6799"/>
    <w:rsid w:val="004E03C6"/>
    <w:rsid w:val="004E4271"/>
    <w:rsid w:val="004E5F43"/>
    <w:rsid w:val="004F5B57"/>
    <w:rsid w:val="00527078"/>
    <w:rsid w:val="00566821"/>
    <w:rsid w:val="0057717D"/>
    <w:rsid w:val="00577E37"/>
    <w:rsid w:val="00580844"/>
    <w:rsid w:val="005B4984"/>
    <w:rsid w:val="005C1346"/>
    <w:rsid w:val="005E03DD"/>
    <w:rsid w:val="005E0F4A"/>
    <w:rsid w:val="00602E40"/>
    <w:rsid w:val="00616ACB"/>
    <w:rsid w:val="00620530"/>
    <w:rsid w:val="00642719"/>
    <w:rsid w:val="006637BA"/>
    <w:rsid w:val="00684A76"/>
    <w:rsid w:val="00685281"/>
    <w:rsid w:val="006A2419"/>
    <w:rsid w:val="006A69EF"/>
    <w:rsid w:val="006B1AD6"/>
    <w:rsid w:val="006B32BC"/>
    <w:rsid w:val="006C5267"/>
    <w:rsid w:val="006D4901"/>
    <w:rsid w:val="007102D6"/>
    <w:rsid w:val="0071569F"/>
    <w:rsid w:val="0072682F"/>
    <w:rsid w:val="00736A1A"/>
    <w:rsid w:val="00736FFB"/>
    <w:rsid w:val="00741242"/>
    <w:rsid w:val="007422E4"/>
    <w:rsid w:val="00780023"/>
    <w:rsid w:val="00786142"/>
    <w:rsid w:val="007864A1"/>
    <w:rsid w:val="007875DD"/>
    <w:rsid w:val="007D3E78"/>
    <w:rsid w:val="007F4762"/>
    <w:rsid w:val="007F745E"/>
    <w:rsid w:val="008049AA"/>
    <w:rsid w:val="00835329"/>
    <w:rsid w:val="008356A3"/>
    <w:rsid w:val="008634F8"/>
    <w:rsid w:val="00891149"/>
    <w:rsid w:val="00894357"/>
    <w:rsid w:val="008A1282"/>
    <w:rsid w:val="008B5C0C"/>
    <w:rsid w:val="008B624B"/>
    <w:rsid w:val="008D5453"/>
    <w:rsid w:val="008D57ED"/>
    <w:rsid w:val="008F14E2"/>
    <w:rsid w:val="0090122E"/>
    <w:rsid w:val="00930594"/>
    <w:rsid w:val="00943FAA"/>
    <w:rsid w:val="009750A1"/>
    <w:rsid w:val="00980423"/>
    <w:rsid w:val="009813FE"/>
    <w:rsid w:val="009856F9"/>
    <w:rsid w:val="009A0624"/>
    <w:rsid w:val="009A6F27"/>
    <w:rsid w:val="009F1C8A"/>
    <w:rsid w:val="00A16DD5"/>
    <w:rsid w:val="00A268BC"/>
    <w:rsid w:val="00A30671"/>
    <w:rsid w:val="00A44031"/>
    <w:rsid w:val="00A54F6C"/>
    <w:rsid w:val="00A67812"/>
    <w:rsid w:val="00AB080F"/>
    <w:rsid w:val="00AE143F"/>
    <w:rsid w:val="00AE399E"/>
    <w:rsid w:val="00AF1757"/>
    <w:rsid w:val="00AF64D4"/>
    <w:rsid w:val="00B04F61"/>
    <w:rsid w:val="00B44264"/>
    <w:rsid w:val="00B67000"/>
    <w:rsid w:val="00B71DCA"/>
    <w:rsid w:val="00BA272D"/>
    <w:rsid w:val="00BB7E5C"/>
    <w:rsid w:val="00BC3387"/>
    <w:rsid w:val="00BD57D7"/>
    <w:rsid w:val="00BE1076"/>
    <w:rsid w:val="00BF19BB"/>
    <w:rsid w:val="00C00F1D"/>
    <w:rsid w:val="00C06752"/>
    <w:rsid w:val="00C32F51"/>
    <w:rsid w:val="00C47FD3"/>
    <w:rsid w:val="00C518C9"/>
    <w:rsid w:val="00C817AC"/>
    <w:rsid w:val="00C82C23"/>
    <w:rsid w:val="00C858AC"/>
    <w:rsid w:val="00C91E76"/>
    <w:rsid w:val="00CC0CEC"/>
    <w:rsid w:val="00CC7B43"/>
    <w:rsid w:val="00D6594E"/>
    <w:rsid w:val="00D7392A"/>
    <w:rsid w:val="00D837A1"/>
    <w:rsid w:val="00D92A6E"/>
    <w:rsid w:val="00DB386C"/>
    <w:rsid w:val="00DD4748"/>
    <w:rsid w:val="00DD492A"/>
    <w:rsid w:val="00E10F54"/>
    <w:rsid w:val="00E17CCD"/>
    <w:rsid w:val="00E24750"/>
    <w:rsid w:val="00E31375"/>
    <w:rsid w:val="00E37872"/>
    <w:rsid w:val="00E716E3"/>
    <w:rsid w:val="00E87E81"/>
    <w:rsid w:val="00E97EB9"/>
    <w:rsid w:val="00EA2060"/>
    <w:rsid w:val="00EB5A7A"/>
    <w:rsid w:val="00EC6D55"/>
    <w:rsid w:val="00EF5285"/>
    <w:rsid w:val="00EF551F"/>
    <w:rsid w:val="00F519FA"/>
    <w:rsid w:val="00F623A6"/>
    <w:rsid w:val="00F650CF"/>
    <w:rsid w:val="00F6546C"/>
    <w:rsid w:val="00F75D03"/>
    <w:rsid w:val="00F85E6D"/>
    <w:rsid w:val="00F87B29"/>
    <w:rsid w:val="00FB39CB"/>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34"/>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table" w:styleId="Tabela-Siatka">
    <w:name w:val="Table Grid"/>
    <w:basedOn w:val="Standardowy"/>
    <w:locked/>
    <w:rsid w:val="00726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locked/>
    <w:rsid w:val="007268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34"/>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table" w:styleId="Tabela-Siatka">
    <w:name w:val="Table Grid"/>
    <w:basedOn w:val="Standardowy"/>
    <w:locked/>
    <w:rsid w:val="00726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locked/>
    <w:rsid w:val="00726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akty-prawne/dzu-dziennik-ustaw/wykaz-krajow-i-terytoriow-stosujacych-szkodliwa-konkurencje-podatkowa-220911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1473</Words>
  <Characters>7820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Kapeliński Piotr</cp:lastModifiedBy>
  <cp:revision>8</cp:revision>
  <cp:lastPrinted>2025-01-29T09:44:00Z</cp:lastPrinted>
  <dcterms:created xsi:type="dcterms:W3CDTF">2025-07-22T11:07:00Z</dcterms:created>
  <dcterms:modified xsi:type="dcterms:W3CDTF">2025-11-04T10:29:00Z</dcterms:modified>
</cp:coreProperties>
</file>